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right"/>
        <w:rPr>
          <w:rFonts w:ascii="Arial" w:hAnsi="Arial"/>
          <w:sz w:val="22"/>
          <w:szCs w:val="22"/>
        </w:rPr>
      </w:pPr>
      <w:r>
        <w:rPr>
          <w:rFonts w:cs="Times New Roman" w:ascii="Arial" w:hAnsi="Arial"/>
          <w:b/>
          <w:bCs/>
          <w:sz w:val="22"/>
          <w:szCs w:val="22"/>
        </w:rPr>
        <w:t>Krajský úřad Středočeského kraje</w:t>
      </w:r>
    </w:p>
    <w:p>
      <w:pPr>
        <w:pStyle w:val="Normal"/>
        <w:ind w:hanging="0"/>
        <w:jc w:val="right"/>
        <w:rPr>
          <w:rFonts w:ascii="Arial" w:hAnsi="Arial"/>
          <w:sz w:val="22"/>
          <w:szCs w:val="22"/>
        </w:rPr>
      </w:pPr>
      <w:r>
        <w:rPr>
          <w:rFonts w:cs="Times New Roman" w:ascii="Arial" w:hAnsi="Arial"/>
          <w:sz w:val="22"/>
          <w:szCs w:val="22"/>
        </w:rPr>
        <w:t>Odbor územního plánování a krajský stavební úřad</w:t>
      </w:r>
    </w:p>
    <w:p>
      <w:pPr>
        <w:pStyle w:val="Normal"/>
        <w:spacing w:before="0" w:after="0"/>
        <w:ind w:hanging="0"/>
        <w:jc w:val="right"/>
        <w:rPr>
          <w:rFonts w:ascii="Arial" w:hAnsi="Arial"/>
          <w:sz w:val="22"/>
          <w:szCs w:val="22"/>
        </w:rPr>
      </w:pPr>
      <w:bookmarkStart w:id="0" w:name="_Hlk511984073"/>
      <w:bookmarkEnd w:id="0"/>
      <w:r>
        <w:rPr>
          <w:rFonts w:eastAsia="Times New Roman" w:cs="Times New Roman" w:ascii="Arial" w:hAnsi="Arial"/>
          <w:bCs/>
          <w:sz w:val="22"/>
          <w:szCs w:val="22"/>
          <w:lang w:eastAsia="ar-SA"/>
        </w:rPr>
        <w:t xml:space="preserve">Zborovská 11, Praha 5-Smíchov </w:t>
      </w:r>
    </w:p>
    <w:p>
      <w:pPr>
        <w:pStyle w:val="Tlotextu"/>
        <w:spacing w:before="0" w:after="0"/>
        <w:ind w:hanging="0"/>
        <w:jc w:val="right"/>
        <w:rPr>
          <w:rFonts w:ascii="Arial" w:hAnsi="Arial"/>
          <w:sz w:val="22"/>
          <w:szCs w:val="22"/>
        </w:rPr>
      </w:pPr>
      <w:r>
        <w:rPr>
          <w:rFonts w:eastAsia="Times New Roman" w:cs="Times New Roman" w:ascii="Arial" w:hAnsi="Arial"/>
          <w:bCs/>
          <w:sz w:val="22"/>
          <w:szCs w:val="22"/>
          <w:lang w:eastAsia="ar-SA"/>
        </w:rPr>
        <w:t xml:space="preserve">datová schránka </w:t>
      </w:r>
      <w:r>
        <w:rPr>
          <w:rFonts w:eastAsia="Times New Roman" w:cs="Times New Roman" w:ascii="Arial" w:hAnsi="Arial"/>
          <w:bCs/>
          <w:sz w:val="22"/>
          <w:szCs w:val="22"/>
          <w:lang w:eastAsia="ar-SA"/>
        </w:rPr>
        <w:t>ID: keebyyf</w:t>
      </w:r>
    </w:p>
    <w:p>
      <w:pPr>
        <w:pStyle w:val="Tlotextu"/>
        <w:numPr>
          <w:ilvl w:val="0"/>
          <w:numId w:val="0"/>
        </w:numPr>
        <w:spacing w:before="0" w:after="0"/>
        <w:ind w:hanging="0"/>
        <w:jc w:val="right"/>
        <w:rPr/>
      </w:pPr>
      <w:r>
        <w:rPr>
          <w:rFonts w:ascii="Arial" w:hAnsi="Arial"/>
          <w:sz w:val="22"/>
          <w:szCs w:val="22"/>
        </w:rPr>
        <w:t>e-mail s digitálním podpisem: po</w:t>
      </w:r>
      <w:r>
        <w:rPr>
          <w:rFonts w:ascii="Arial" w:hAnsi="Arial"/>
          <w:sz w:val="22"/>
          <w:szCs w:val="22"/>
        </w:rPr>
        <w:t>datelna</w:t>
      </w:r>
      <w:r>
        <w:rPr>
          <w:rFonts w:ascii="Arial" w:hAnsi="Arial"/>
          <w:sz w:val="22"/>
          <w:szCs w:val="22"/>
        </w:rPr>
        <w:t>@kr-s.cz</w:t>
      </w:r>
    </w:p>
    <w:p>
      <w:pPr>
        <w:pStyle w:val="Normal"/>
        <w:ind w:hanging="0"/>
        <w:jc w:val="right"/>
        <w:rPr>
          <w:rFonts w:eastAsia="Times New Roman" w:cs="Arial"/>
          <w:bCs/>
          <w:lang w:eastAsia="ar-SA"/>
        </w:rPr>
      </w:pPr>
      <w:r>
        <w:rPr>
          <w:rFonts w:eastAsia="Times New Roman" w:cs="Times New Roman" w:ascii="Arial" w:hAnsi="Arial"/>
          <w:bCs/>
          <w:sz w:val="22"/>
          <w:szCs w:val="22"/>
          <w:lang w:eastAsia="ar-SA"/>
        </w:rPr>
      </w:r>
    </w:p>
    <w:p>
      <w:pPr>
        <w:pStyle w:val="Normal"/>
        <w:ind w:hanging="0"/>
        <w:rPr>
          <w:rFonts w:eastAsia="Times New Roman" w:cs="Arial"/>
          <w:bCs/>
          <w:lang w:eastAsia="ar-SA"/>
        </w:rPr>
      </w:pPr>
      <w:r>
        <w:rPr>
          <w:rFonts w:eastAsia="Times New Roman" w:cs="Arial"/>
          <w:bCs/>
          <w:lang w:eastAsia="ar-SA"/>
        </w:rPr>
      </w:r>
    </w:p>
    <w:p>
      <w:pPr>
        <w:pStyle w:val="Normal"/>
        <w:ind w:hanging="0"/>
        <w:jc w:val="right"/>
        <w:rPr/>
      </w:pPr>
      <w:r>
        <w:rPr>
          <w:rFonts w:eastAsia="Times New Roman" w:cs="Arial"/>
          <w:b/>
          <w:lang w:eastAsia="ar-SA"/>
        </w:rPr>
        <w:t>k č.j. 126881/2024/KUSK</w:t>
      </w:r>
    </w:p>
    <w:p>
      <w:pPr>
        <w:pStyle w:val="Normal"/>
        <w:ind w:hanging="0"/>
        <w:jc w:val="right"/>
        <w:rPr/>
      </w:pPr>
      <w:r>
        <w:rPr>
          <w:rFonts w:eastAsia="Times New Roman" w:cs="Arial"/>
          <w:b/>
          <w:lang w:eastAsia="ar-SA"/>
        </w:rPr>
        <w:t>k sp.zn. SZ 113432/2024/KUSK ÚPS/Št</w:t>
      </w:r>
    </w:p>
    <w:p>
      <w:pPr>
        <w:pStyle w:val="Normal"/>
        <w:ind w:hanging="0"/>
        <w:rPr>
          <w:rFonts w:eastAsia="Times New Roman" w:cs="Arial"/>
          <w:bCs/>
          <w:lang w:eastAsia="ar-SA"/>
        </w:rPr>
      </w:pPr>
      <w:r>
        <w:rPr>
          <w:rFonts w:eastAsia="Times New Roman" w:cs="Arial"/>
          <w:bCs/>
          <w:lang w:eastAsia="ar-SA"/>
        </w:rPr>
      </w:r>
    </w:p>
    <w:p>
      <w:pPr>
        <w:pStyle w:val="Normal"/>
        <w:ind w:hanging="0"/>
        <w:jc w:val="right"/>
        <w:rPr/>
      </w:pPr>
      <w:r>
        <w:rPr>
          <w:rFonts w:eastAsia="Times New Roman" w:cs="Arial"/>
          <w:bCs/>
          <w:iCs/>
          <w:lang w:eastAsia="ar-SA"/>
        </w:rPr>
        <w:t>Praha-Suchdol ….………….</w:t>
      </w:r>
    </w:p>
    <w:p>
      <w:pPr>
        <w:pStyle w:val="Normal"/>
        <w:ind w:hanging="0"/>
        <w:rPr>
          <w:rFonts w:eastAsia="Times New Roman" w:cs="Arial"/>
          <w:bCs/>
          <w:i/>
          <w:i/>
          <w:lang w:eastAsia="ar-SA"/>
        </w:rPr>
      </w:pPr>
      <w:r>
        <w:rPr>
          <w:rFonts w:eastAsia="Times New Roman" w:cs="Arial"/>
          <w:bCs/>
          <w:i/>
          <w:lang w:eastAsia="ar-SA"/>
        </w:rPr>
      </w:r>
    </w:p>
    <w:p>
      <w:pPr>
        <w:pStyle w:val="Normal"/>
        <w:spacing w:lineRule="auto" w:line="264"/>
        <w:ind w:hanging="0"/>
        <w:jc w:val="left"/>
        <w:rPr>
          <w:b/>
        </w:rPr>
      </w:pPr>
      <w:r>
        <w:rPr>
          <w:b/>
        </w:rPr>
      </w:r>
    </w:p>
    <w:p>
      <w:pPr>
        <w:pStyle w:val="Normal"/>
        <w:spacing w:lineRule="auto" w:line="264"/>
        <w:ind w:hanging="0"/>
        <w:jc w:val="left"/>
        <w:rPr/>
      </w:pPr>
      <w:r>
        <w:rPr>
          <w:b/>
        </w:rPr>
        <w:t>Jméno, příjmení: …………………………</w:t>
      </w:r>
    </w:p>
    <w:p>
      <w:pPr>
        <w:pStyle w:val="Normal"/>
        <w:spacing w:lineRule="auto" w:line="264"/>
        <w:ind w:hanging="0"/>
        <w:jc w:val="left"/>
        <w:rPr>
          <w:b/>
        </w:rPr>
      </w:pPr>
      <w:r>
        <w:rPr>
          <w:b/>
        </w:rPr>
      </w:r>
    </w:p>
    <w:p>
      <w:pPr>
        <w:pStyle w:val="Normal"/>
        <w:spacing w:lineRule="auto" w:line="264"/>
        <w:ind w:hanging="0"/>
        <w:jc w:val="left"/>
        <w:rPr/>
      </w:pPr>
      <w:r>
        <w:rPr>
          <w:b/>
        </w:rPr>
        <w:t>Datum narození: …………………………</w:t>
      </w:r>
    </w:p>
    <w:p>
      <w:pPr>
        <w:pStyle w:val="Normal"/>
        <w:spacing w:lineRule="auto" w:line="264"/>
        <w:ind w:hanging="0"/>
        <w:jc w:val="left"/>
        <w:rPr>
          <w:b/>
        </w:rPr>
      </w:pPr>
      <w:r>
        <w:rPr>
          <w:b/>
        </w:rPr>
      </w:r>
    </w:p>
    <w:p>
      <w:pPr>
        <w:pStyle w:val="Normal"/>
        <w:spacing w:lineRule="auto" w:line="264"/>
        <w:ind w:hanging="0"/>
        <w:jc w:val="left"/>
        <w:rPr/>
      </w:pPr>
      <w:r>
        <w:rPr>
          <w:b/>
        </w:rPr>
        <w:t>Trvale bytem: …………………………….</w:t>
      </w:r>
    </w:p>
    <w:p>
      <w:pPr>
        <w:pStyle w:val="Normal"/>
        <w:ind w:hanging="0"/>
        <w:jc w:val="left"/>
        <w:rPr>
          <w:b/>
          <w:sz w:val="24"/>
        </w:rPr>
      </w:pPr>
      <w:r>
        <w:rPr>
          <w:b/>
          <w:sz w:val="24"/>
        </w:rPr>
      </w:r>
    </w:p>
    <w:p>
      <w:pPr>
        <w:pStyle w:val="Normal"/>
        <w:spacing w:before="0" w:after="160"/>
        <w:ind w:hanging="0"/>
        <w:jc w:val="left"/>
        <w:rPr/>
      </w:pPr>
      <w:r>
        <w:rPr/>
      </w:r>
    </w:p>
    <w:p>
      <w:pPr>
        <w:pStyle w:val="Normal"/>
        <w:spacing w:before="0" w:after="160"/>
        <w:ind w:hanging="0"/>
        <w:jc w:val="left"/>
        <w:rPr/>
      </w:pPr>
      <w:r>
        <w:rPr/>
      </w:r>
    </w:p>
    <w:p>
      <w:pPr>
        <w:pStyle w:val="Normal"/>
        <w:ind w:hanging="0"/>
        <w:jc w:val="center"/>
        <w:rPr/>
      </w:pPr>
      <w:r>
        <w:rPr>
          <w:rFonts w:cs="Arial"/>
          <w:b/>
          <w:sz w:val="28"/>
          <w:szCs w:val="28"/>
        </w:rPr>
        <w:t>V řízení o vydání rozhodnutí o umístění stavby nazvané „</w:t>
      </w:r>
      <w:r>
        <w:rPr>
          <w:rFonts w:cs="Times New Roman"/>
          <w:b/>
          <w:sz w:val="28"/>
          <w:szCs w:val="28"/>
        </w:rPr>
        <w:t>paralelní dráha RWY 06R/24L o délce 3 100 m Letiště Praha, Ruzyně“</w:t>
      </w:r>
    </w:p>
    <w:p>
      <w:pPr>
        <w:pStyle w:val="Normal"/>
        <w:ind w:hanging="0"/>
        <w:rPr>
          <w:rFonts w:eastAsia="SimSun" w:cs="Calibri"/>
          <w:kern w:val="2"/>
          <w:szCs w:val="21"/>
          <w:lang w:eastAsia="ar-SA"/>
        </w:rPr>
      </w:pPr>
      <w:r>
        <w:rPr>
          <w:rFonts w:eastAsia="SimSun" w:cs="Calibri"/>
          <w:kern w:val="2"/>
          <w:szCs w:val="21"/>
          <w:lang w:eastAsia="ar-SA"/>
        </w:rPr>
      </w:r>
    </w:p>
    <w:p>
      <w:pPr>
        <w:pStyle w:val="Normal"/>
        <w:jc w:val="center"/>
        <w:rPr>
          <w:b/>
          <w:sz w:val="28"/>
          <w:szCs w:val="28"/>
        </w:rPr>
      </w:pPr>
      <w:r>
        <w:rPr>
          <w:b/>
          <w:sz w:val="28"/>
          <w:szCs w:val="28"/>
        </w:rPr>
      </w:r>
    </w:p>
    <w:p>
      <w:pPr>
        <w:pStyle w:val="ListParagraph"/>
        <w:numPr>
          <w:ilvl w:val="0"/>
          <w:numId w:val="0"/>
        </w:numPr>
        <w:ind w:left="720" w:hanging="0"/>
        <w:jc w:val="center"/>
        <w:rPr/>
      </w:pPr>
      <w:r>
        <w:rPr>
          <w:rFonts w:cs="Arial" w:ascii="Arial" w:hAnsi="Arial"/>
          <w:b/>
          <w:bCs/>
          <w:sz w:val="28"/>
          <w:szCs w:val="28"/>
          <w:lang w:eastAsia="ar-SA"/>
        </w:rPr>
        <w:t>námitky účastníka řízení</w:t>
      </w:r>
    </w:p>
    <w:p>
      <w:pPr>
        <w:pStyle w:val="Normal"/>
        <w:widowControl w:val="false"/>
        <w:ind w:hanging="0"/>
        <w:jc w:val="center"/>
        <w:rPr/>
      </w:pPr>
      <w:r>
        <w:rPr/>
      </w:r>
    </w:p>
    <w:p>
      <w:pPr>
        <w:pStyle w:val="Normal"/>
        <w:ind w:hanging="0"/>
        <w:rPr>
          <w:rFonts w:eastAsia="Times New Roman"/>
        </w:rPr>
      </w:pPr>
      <w:r>
        <w:rPr>
          <w:rFonts w:eastAsia="Times New Roman"/>
        </w:rPr>
      </w:r>
    </w:p>
    <w:p>
      <w:pPr>
        <w:pStyle w:val="ListParagraph"/>
        <w:spacing w:lineRule="auto" w:line="240" w:before="0" w:after="0"/>
        <w:ind w:left="284" w:hanging="0"/>
        <w:contextualSpacing/>
        <w:jc w:val="center"/>
        <w:rPr/>
      </w:pPr>
      <w:r>
        <w:rPr>
          <w:rFonts w:eastAsia="SimSun" w:cs="Arial" w:ascii="Arial" w:hAnsi="Arial"/>
          <w:b/>
          <w:kern w:val="2"/>
          <w:szCs w:val="21"/>
          <w:lang w:eastAsia="ar-SA"/>
        </w:rPr>
        <w:t>I.</w:t>
      </w:r>
    </w:p>
    <w:p>
      <w:pPr>
        <w:pStyle w:val="Normal"/>
        <w:ind w:firstLine="708"/>
        <w:rPr>
          <w:rFonts w:cs="Arial"/>
          <w:szCs w:val="24"/>
        </w:rPr>
      </w:pPr>
      <w:r>
        <w:rPr>
          <w:rFonts w:cs="Arial"/>
          <w:szCs w:val="24"/>
        </w:rPr>
      </w:r>
    </w:p>
    <w:p>
      <w:pPr>
        <w:pStyle w:val="Normal"/>
        <w:ind w:hanging="0"/>
        <w:rPr/>
      </w:pPr>
      <w:r>
        <w:rPr>
          <w:rFonts w:cs="Times New Roman"/>
          <w:szCs w:val="24"/>
        </w:rPr>
        <w:t>Krajský úřad Středočeského kraje, Odbor územního plánování a krajského stavebního řádu (dále jen „stavební úřad“), oznámil pod č.j. </w:t>
      </w:r>
      <w:r>
        <w:rPr>
          <w:rFonts w:eastAsia="Times New Roman" w:cs="Arial"/>
          <w:bCs/>
          <w:lang w:eastAsia="ar-SA"/>
        </w:rPr>
        <w:t>126881/2024/KUSK</w:t>
      </w:r>
      <w:r>
        <w:rPr>
          <w:rFonts w:eastAsia="Times New Roman" w:cs="Arial"/>
          <w:b/>
          <w:lang w:eastAsia="ar-SA"/>
        </w:rPr>
        <w:t xml:space="preserve"> </w:t>
      </w:r>
      <w:r>
        <w:rPr>
          <w:rFonts w:eastAsia="Times New Roman" w:cs="Arial"/>
          <w:bCs/>
          <w:lang w:eastAsia="ar-SA"/>
        </w:rPr>
        <w:t>ze dne 30. 9. 2024</w:t>
      </w:r>
      <w:r>
        <w:rPr>
          <w:rFonts w:eastAsia="Times New Roman" w:cs="Arial"/>
          <w:b/>
          <w:lang w:eastAsia="ar-SA"/>
        </w:rPr>
        <w:t xml:space="preserve"> </w:t>
      </w:r>
      <w:r>
        <w:rPr>
          <w:rFonts w:cs="Times New Roman"/>
          <w:szCs w:val="24"/>
        </w:rPr>
        <w:t>zahájení řízení o žádosti o vydání územního rozhodnutí o umístění stavby dopravní infrastruktury uvedené v § 1 odst. 2 písm. c) zákona č. 416/2009 Sb., o urychlení výstavby strategicky významné infrastruktury, ve znění účinném do 31. 12. 2023 (dále též „liniový zákon“), pro stavbu nazvanou „</w:t>
      </w:r>
      <w:r>
        <w:rPr>
          <w:rFonts w:cs="Times New Roman"/>
          <w:b/>
          <w:bCs/>
          <w:szCs w:val="24"/>
        </w:rPr>
        <w:t>paralelní dráha RWY 06R/24L o délce 3 100 m Letiště Praha, Ruzyně</w:t>
      </w:r>
      <w:r>
        <w:rPr>
          <w:rFonts w:cs="Times New Roman"/>
          <w:szCs w:val="24"/>
        </w:rPr>
        <w:t>“ na pozemcích v k.ú. Dobrovíz, Hostivice, Litovice, Přední Kopanina a Ruzyně.</w:t>
      </w:r>
    </w:p>
    <w:p>
      <w:pPr>
        <w:pStyle w:val="Normal"/>
        <w:ind w:firstLine="708"/>
        <w:rPr>
          <w:rFonts w:cs="Times New Roman"/>
          <w:szCs w:val="24"/>
        </w:rPr>
      </w:pPr>
      <w:r>
        <w:rPr>
          <w:rFonts w:cs="Times New Roman"/>
          <w:szCs w:val="24"/>
        </w:rPr>
      </w:r>
    </w:p>
    <w:p>
      <w:pPr>
        <w:pStyle w:val="Normal"/>
        <w:ind w:hanging="0"/>
        <w:rPr/>
      </w:pPr>
      <w:r>
        <w:rPr>
          <w:rFonts w:cs="Arial"/>
          <w:bCs/>
          <w:kern w:val="2"/>
          <w:szCs w:val="21"/>
        </w:rPr>
        <w:t xml:space="preserve">Jako účastník předmětného řízení </w:t>
      </w:r>
      <w:r>
        <w:rPr>
          <w:rFonts w:cs="Arial"/>
          <w:b/>
          <w:bCs/>
          <w:kern w:val="2"/>
          <w:szCs w:val="21"/>
        </w:rPr>
        <w:t xml:space="preserve">s žádostí o vydání územního rozhodnutí shora nadepsaný účastník zásadně nesouhlasí </w:t>
      </w:r>
      <w:r>
        <w:rPr>
          <w:rFonts w:cs="Arial"/>
          <w:bCs/>
          <w:kern w:val="2"/>
          <w:szCs w:val="21"/>
        </w:rPr>
        <w:t>a podává k</w:t>
      </w:r>
      <w:r>
        <w:rPr>
          <w:rFonts w:eastAsia="Times New Roman" w:cs="Arial"/>
          <w:kern w:val="2"/>
          <w:szCs w:val="21"/>
          <w:lang w:eastAsia="ar-SA"/>
        </w:rPr>
        <w:t xml:space="preserve"> výše uvedené žádosti tyto</w:t>
      </w:r>
    </w:p>
    <w:p>
      <w:pPr>
        <w:pStyle w:val="Normal"/>
        <w:ind w:hanging="0"/>
        <w:rPr>
          <w:rFonts w:eastAsia="Times New Roman" w:cs="Arial"/>
          <w:b/>
          <w:kern w:val="2"/>
          <w:szCs w:val="21"/>
          <w:u w:val="single"/>
          <w:lang w:eastAsia="ar-SA"/>
        </w:rPr>
      </w:pPr>
      <w:r>
        <w:rPr>
          <w:rFonts w:eastAsia="Times New Roman" w:cs="Arial"/>
          <w:b/>
          <w:kern w:val="2"/>
          <w:szCs w:val="21"/>
          <w:u w:val="single"/>
          <w:lang w:eastAsia="ar-SA"/>
        </w:rPr>
      </w:r>
    </w:p>
    <w:p>
      <w:pPr>
        <w:pStyle w:val="Normal"/>
        <w:ind w:hanging="0"/>
        <w:rPr>
          <w:rFonts w:eastAsia="Times New Roman" w:cs="Arial"/>
          <w:b/>
          <w:kern w:val="2"/>
          <w:szCs w:val="21"/>
          <w:u w:val="single"/>
          <w:lang w:eastAsia="ar-SA"/>
        </w:rPr>
      </w:pPr>
      <w:r>
        <w:rPr>
          <w:rFonts w:eastAsia="Times New Roman" w:cs="Arial"/>
          <w:b/>
          <w:kern w:val="2"/>
          <w:szCs w:val="21"/>
          <w:u w:val="single"/>
          <w:lang w:eastAsia="ar-SA"/>
        </w:rPr>
      </w:r>
    </w:p>
    <w:p>
      <w:pPr>
        <w:pStyle w:val="Normal"/>
        <w:jc w:val="center"/>
        <w:rPr/>
      </w:pPr>
      <w:r>
        <w:rPr>
          <w:rFonts w:eastAsia="Times New Roman" w:cs="Arial"/>
          <w:b/>
          <w:kern w:val="2"/>
          <w:szCs w:val="21"/>
          <w:u w:val="single"/>
          <w:lang w:eastAsia="ar-SA"/>
        </w:rPr>
        <w:t>n á m i t k y.</w:t>
      </w:r>
    </w:p>
    <w:p>
      <w:pPr>
        <w:pStyle w:val="Normal"/>
        <w:jc w:val="center"/>
        <w:rPr>
          <w:rFonts w:eastAsia="Times New Roman" w:cs="Arial"/>
          <w:b/>
          <w:bCs/>
          <w:kern w:val="2"/>
          <w:szCs w:val="21"/>
          <w:lang w:eastAsia="ar-SA"/>
        </w:rPr>
      </w:pPr>
      <w:r>
        <w:rPr>
          <w:rFonts w:eastAsia="Times New Roman" w:cs="Arial"/>
          <w:b/>
          <w:bCs/>
          <w:kern w:val="2"/>
          <w:szCs w:val="21"/>
          <w:lang w:eastAsia="ar-SA"/>
        </w:rPr>
      </w:r>
    </w:p>
    <w:p>
      <w:pPr>
        <w:pStyle w:val="Normal"/>
        <w:jc w:val="center"/>
        <w:rPr>
          <w:rFonts w:eastAsia="Times New Roman" w:cs="Arial"/>
          <w:b/>
          <w:bCs/>
          <w:kern w:val="2"/>
          <w:szCs w:val="21"/>
          <w:lang w:eastAsia="ar-SA"/>
        </w:rPr>
      </w:pPr>
      <w:r>
        <w:rPr>
          <w:rFonts w:eastAsia="Times New Roman" w:cs="Arial"/>
          <w:b/>
          <w:bCs/>
          <w:kern w:val="2"/>
          <w:szCs w:val="21"/>
          <w:lang w:eastAsia="ar-SA"/>
        </w:rPr>
      </w:r>
      <w:r>
        <w:br w:type="page"/>
      </w:r>
    </w:p>
    <w:p>
      <w:pPr>
        <w:pStyle w:val="Normal"/>
        <w:jc w:val="center"/>
        <w:rPr/>
      </w:pPr>
      <w:r>
        <w:rPr>
          <w:rFonts w:eastAsia="Times New Roman" w:cs="Arial"/>
          <w:b/>
          <w:bCs/>
          <w:kern w:val="2"/>
          <w:szCs w:val="21"/>
          <w:lang w:eastAsia="ar-SA"/>
        </w:rPr>
        <w:t>II.</w:t>
      </w:r>
    </w:p>
    <w:p>
      <w:pPr>
        <w:pStyle w:val="Normal"/>
        <w:jc w:val="center"/>
        <w:rPr>
          <w:rFonts w:eastAsia="Times New Roman" w:cs="Arial"/>
          <w:b/>
          <w:bCs/>
          <w:kern w:val="2"/>
          <w:szCs w:val="21"/>
          <w:lang w:eastAsia="ar-SA"/>
        </w:rPr>
      </w:pPr>
      <w:r>
        <w:rPr>
          <w:rFonts w:eastAsia="Times New Roman" w:cs="Arial"/>
          <w:b/>
          <w:bCs/>
          <w:kern w:val="2"/>
          <w:szCs w:val="21"/>
          <w:lang w:eastAsia="ar-SA"/>
        </w:rPr>
      </w:r>
    </w:p>
    <w:p>
      <w:pPr>
        <w:pStyle w:val="Normal"/>
        <w:jc w:val="center"/>
        <w:rPr/>
      </w:pPr>
      <w:r>
        <w:rPr>
          <w:rFonts w:eastAsia="Times New Roman" w:cs="Arial"/>
          <w:b/>
          <w:bCs/>
          <w:kern w:val="2"/>
          <w:szCs w:val="21"/>
          <w:lang w:eastAsia="ar-SA"/>
        </w:rPr>
        <w:t>Skutečnosti zakládající postavení účastníka</w:t>
      </w:r>
    </w:p>
    <w:p>
      <w:pPr>
        <w:pStyle w:val="Normal"/>
        <w:rPr>
          <w:rFonts w:cs="Arial"/>
          <w:bCs/>
          <w:shd w:fill="FFFFFF" w:val="clear"/>
        </w:rPr>
      </w:pPr>
      <w:r>
        <w:rPr>
          <w:rFonts w:cs="Arial"/>
          <w:bCs/>
          <w:shd w:fill="FFFFFF" w:val="clear"/>
        </w:rPr>
      </w:r>
    </w:p>
    <w:p>
      <w:pPr>
        <w:pStyle w:val="Normal"/>
        <w:ind w:hanging="0"/>
        <w:rPr>
          <w:highlight w:val="none"/>
          <w:shd w:fill="auto" w:val="clear"/>
        </w:rPr>
      </w:pPr>
      <w:r>
        <w:rPr>
          <w:shd w:fill="auto" w:val="clear"/>
        </w:rPr>
        <w:t>Účastník je vlastníkem pozemku parc.č. …………….. v k.ú. ………. / rodinného domu č.p. ….. stojícího na pozemku parc.č. ……. / bytové jednotky v bytovém domě č.p. ……. stojícím na pozemku parc.č. ……….  v k.ú. ………….</w:t>
      </w:r>
    </w:p>
    <w:p>
      <w:pPr>
        <w:pStyle w:val="Normal"/>
        <w:ind w:firstLine="709"/>
        <w:rPr/>
      </w:pPr>
      <w:r>
        <w:rPr/>
      </w:r>
    </w:p>
    <w:p>
      <w:pPr>
        <w:pStyle w:val="Normal"/>
        <w:ind w:hanging="0"/>
        <w:rPr/>
      </w:pPr>
      <w:r>
        <w:rPr/>
        <w:t>Účastník řízení bude předmětným záměrem výrazně dotčen na svých právech, a především jejím trvalým užíváním a provozem, a z toho plynoucích imisí (zejm. hluk, znečištěné ovzduší), dále bude narušena i pohoda bydlení a právo na ochranu životního prostředí.</w:t>
      </w:r>
    </w:p>
    <w:p>
      <w:pPr>
        <w:pStyle w:val="Normal"/>
        <w:ind w:firstLine="709"/>
        <w:rPr/>
      </w:pPr>
      <w:r>
        <w:rPr/>
      </w:r>
    </w:p>
    <w:p>
      <w:pPr>
        <w:pStyle w:val="Normal"/>
        <w:ind w:hanging="0"/>
        <w:rPr/>
      </w:pPr>
      <w:r>
        <w:rPr/>
        <w:t>Podle § 85 odst. 2 písm. b) zákona č. 183/2006 Sb. o územním plánování a stavebním řádu (stavební zákon), ve znění pozdějších předpisů (dále jen „stavební zákon“), jsou účastníky územního řízení osoby, jejichž vlastnické nebo jiné věcné právo k sousedním stavbám anebo sousedním pozemkům nebo stavbám na nich může být územním rozhodnutím přímo dotčeno. Postačí tedy potencialita dotčení na právech, účastenství není omezeno jen na bezprostřední sousedy. Účastník odkazuje na nález Ústavního soudu  Pl. ÚS 19/99 a další konstantní judikaturu správních soudů ve věci účastenství v řízení.</w:t>
      </w:r>
    </w:p>
    <w:p>
      <w:pPr>
        <w:pStyle w:val="Normal"/>
        <w:jc w:val="center"/>
        <w:rPr>
          <w:rFonts w:eastAsia="Times New Roman" w:cs="Arial"/>
          <w:b/>
          <w:bCs/>
          <w:kern w:val="2"/>
          <w:szCs w:val="21"/>
          <w:lang w:eastAsia="ar-SA"/>
        </w:rPr>
      </w:pPr>
      <w:r>
        <w:rPr>
          <w:rFonts w:eastAsia="Times New Roman" w:cs="Arial"/>
          <w:b/>
          <w:bCs/>
          <w:kern w:val="2"/>
          <w:szCs w:val="21"/>
          <w:lang w:eastAsia="ar-SA"/>
        </w:rPr>
      </w:r>
    </w:p>
    <w:p>
      <w:pPr>
        <w:pStyle w:val="Normal"/>
        <w:jc w:val="center"/>
        <w:rPr/>
      </w:pPr>
      <w:r>
        <w:rPr>
          <w:rFonts w:eastAsia="Times New Roman" w:cs="Arial"/>
          <w:b/>
          <w:bCs/>
          <w:kern w:val="2"/>
          <w:szCs w:val="21"/>
          <w:lang w:eastAsia="ar-SA"/>
        </w:rPr>
        <w:t>III.</w:t>
      </w:r>
    </w:p>
    <w:p>
      <w:pPr>
        <w:pStyle w:val="Normal"/>
        <w:jc w:val="center"/>
        <w:rPr>
          <w:rFonts w:eastAsia="Times New Roman" w:cs="Arial"/>
          <w:b/>
          <w:bCs/>
          <w:kern w:val="2"/>
          <w:szCs w:val="21"/>
          <w:lang w:eastAsia="ar-SA"/>
        </w:rPr>
      </w:pPr>
      <w:r>
        <w:rPr>
          <w:rFonts w:eastAsia="Times New Roman" w:cs="Arial"/>
          <w:b/>
          <w:bCs/>
          <w:kern w:val="2"/>
          <w:szCs w:val="21"/>
          <w:lang w:eastAsia="ar-SA"/>
        </w:rPr>
      </w:r>
    </w:p>
    <w:p>
      <w:pPr>
        <w:pStyle w:val="Normal"/>
        <w:jc w:val="center"/>
        <w:rPr/>
      </w:pPr>
      <w:r>
        <w:rPr>
          <w:rFonts w:eastAsia="Times New Roman" w:cs="Arial"/>
          <w:b/>
          <w:bCs/>
          <w:kern w:val="2"/>
          <w:szCs w:val="21"/>
          <w:lang w:eastAsia="ar-SA"/>
        </w:rPr>
        <w:t>Důvody podání námitek</w:t>
      </w:r>
    </w:p>
    <w:p>
      <w:pPr>
        <w:pStyle w:val="Normal"/>
        <w:jc w:val="center"/>
        <w:rPr>
          <w:rFonts w:eastAsia="Times New Roman" w:cs="Arial"/>
          <w:b/>
          <w:bCs/>
          <w:kern w:val="2"/>
          <w:szCs w:val="21"/>
          <w:lang w:eastAsia="ar-SA"/>
        </w:rPr>
      </w:pPr>
      <w:r>
        <w:rPr>
          <w:rFonts w:eastAsia="Times New Roman" w:cs="Arial"/>
          <w:b/>
          <w:bCs/>
          <w:kern w:val="2"/>
          <w:szCs w:val="21"/>
          <w:lang w:eastAsia="ar-SA"/>
        </w:rPr>
      </w:r>
    </w:p>
    <w:p>
      <w:pPr>
        <w:pStyle w:val="Normal"/>
        <w:ind w:hanging="0"/>
        <w:rPr/>
      </w:pPr>
      <w:r>
        <w:rPr>
          <w:rFonts w:eastAsia="Times New Roman" w:cs="Arial"/>
          <w:bCs/>
          <w:kern w:val="2"/>
          <w:szCs w:val="21"/>
          <w:lang w:eastAsia="ar-SA"/>
        </w:rPr>
        <w:t xml:space="preserve">Námitky k žádosti </w:t>
      </w:r>
      <w:r>
        <w:rPr>
          <w:rFonts w:eastAsia="Times New Roman" w:cs="Arial"/>
          <w:kern w:val="2"/>
          <w:szCs w:val="21"/>
          <w:lang w:eastAsia="ar-SA"/>
        </w:rPr>
        <w:t>žadatele podává účastník z důvodů nepřípustného zásahu do charakteru území (pohoda bydlení) a z důvodu obav z enormního zvýšení hlukové a imisní zátěže v lokalitě. A to především po dobu trvalého užívání stavby, kdy dojde k významnému trvalému zvýšení hlukového zatížení lokality leteckou dopravou. Námitky podává i z důvodu zásahu do práva na ochranu životního prostředí, zejména zásahu do krajinného rázu a ohrožení zájmů chráněných zákonem č. 114/1992 Sb., o ochraně přírody a krajiny, ve znění pozdějších předpisů (dále jen „ZOPK“).</w:t>
      </w:r>
    </w:p>
    <w:p>
      <w:pPr>
        <w:pStyle w:val="Normal"/>
        <w:ind w:firstLine="709"/>
        <w:rPr>
          <w:rFonts w:eastAsia="Times New Roman" w:cs="Arial"/>
          <w:kern w:val="2"/>
          <w:szCs w:val="21"/>
          <w:lang w:eastAsia="ar-SA"/>
        </w:rPr>
      </w:pPr>
      <w:r>
        <w:rPr>
          <w:rFonts w:eastAsia="Times New Roman" w:cs="Arial"/>
          <w:kern w:val="2"/>
          <w:szCs w:val="21"/>
          <w:lang w:eastAsia="ar-SA"/>
        </w:rPr>
      </w:r>
    </w:p>
    <w:p>
      <w:pPr>
        <w:pStyle w:val="Normal"/>
        <w:spacing w:lineRule="atLeast" w:line="240"/>
        <w:ind w:hanging="0"/>
        <w:rPr/>
      </w:pPr>
      <w:r>
        <w:rPr>
          <w:rFonts w:cs="Arial"/>
        </w:rPr>
        <w:t xml:space="preserve">Účastník řízení namítá, že význam paralelní dráhy, která sice je schválená v platném územním plánu sídelního útvaru hl. m. Prahy, nemůže převážit nad zájmem na ochraně veřejného zdraví. </w:t>
      </w:r>
    </w:p>
    <w:p>
      <w:pPr>
        <w:pStyle w:val="Normal"/>
        <w:spacing w:lineRule="atLeast" w:line="240"/>
        <w:ind w:firstLine="709"/>
        <w:rPr>
          <w:rFonts w:cs="Arial"/>
        </w:rPr>
      </w:pPr>
      <w:r>
        <w:rPr>
          <w:rFonts w:cs="Arial"/>
        </w:rPr>
      </w:r>
    </w:p>
    <w:p>
      <w:pPr>
        <w:pStyle w:val="Normal"/>
        <w:jc w:val="center"/>
        <w:rPr/>
      </w:pPr>
      <w:r>
        <w:rPr>
          <w:rFonts w:eastAsia="Times New Roman" w:cs="Arial"/>
          <w:b/>
          <w:kern w:val="2"/>
          <w:szCs w:val="21"/>
          <w:lang w:eastAsia="cs-CZ"/>
        </w:rPr>
        <w:t>IV.</w:t>
      </w:r>
    </w:p>
    <w:p>
      <w:pPr>
        <w:pStyle w:val="Normal"/>
        <w:jc w:val="center"/>
        <w:rPr>
          <w:rFonts w:eastAsia="Times New Roman" w:cs="Arial"/>
          <w:b/>
          <w:kern w:val="2"/>
          <w:szCs w:val="21"/>
          <w:lang w:eastAsia="cs-CZ"/>
        </w:rPr>
      </w:pPr>
      <w:r>
        <w:rPr>
          <w:rFonts w:eastAsia="Times New Roman" w:cs="Arial"/>
          <w:b/>
          <w:kern w:val="2"/>
          <w:szCs w:val="21"/>
          <w:lang w:eastAsia="cs-CZ"/>
        </w:rPr>
      </w:r>
    </w:p>
    <w:p>
      <w:pPr>
        <w:pStyle w:val="Normal"/>
        <w:jc w:val="center"/>
        <w:rPr/>
      </w:pPr>
      <w:r>
        <w:rPr>
          <w:rFonts w:eastAsia="Times New Roman" w:cs="Arial"/>
          <w:b/>
          <w:kern w:val="2"/>
          <w:szCs w:val="21"/>
          <w:lang w:eastAsia="cs-CZ"/>
        </w:rPr>
        <w:t>Námitky proti umístění stavby</w:t>
      </w:r>
    </w:p>
    <w:p>
      <w:pPr>
        <w:pStyle w:val="Normal"/>
        <w:rPr>
          <w:rFonts w:eastAsia="Times New Roman" w:cs="Arial"/>
          <w:b/>
          <w:kern w:val="2"/>
          <w:szCs w:val="21"/>
          <w:lang w:eastAsia="cs-CZ"/>
        </w:rPr>
      </w:pPr>
      <w:r>
        <w:rPr>
          <w:rFonts w:eastAsia="Times New Roman" w:cs="Arial"/>
          <w:b/>
          <w:kern w:val="2"/>
          <w:szCs w:val="21"/>
          <w:lang w:eastAsia="cs-CZ"/>
        </w:rPr>
      </w:r>
    </w:p>
    <w:p>
      <w:pPr>
        <w:pStyle w:val="ListParagraph"/>
        <w:widowControl w:val="false"/>
        <w:numPr>
          <w:ilvl w:val="0"/>
          <w:numId w:val="2"/>
        </w:numPr>
        <w:spacing w:before="0" w:after="0"/>
        <w:contextualSpacing/>
        <w:jc w:val="both"/>
        <w:rPr/>
      </w:pPr>
      <w:r>
        <w:rPr>
          <w:rFonts w:eastAsia="Times New Roman" w:cs="Arial" w:ascii="Arial" w:hAnsi="Arial"/>
          <w:b/>
          <w:kern w:val="2"/>
          <w:lang w:eastAsia="cs-CZ"/>
        </w:rPr>
        <w:t>Zásah do pohody bydlení, rozpor s charakterem území</w:t>
      </w:r>
    </w:p>
    <w:p>
      <w:pPr>
        <w:pStyle w:val="Normal"/>
        <w:widowControl w:val="false"/>
        <w:ind w:hanging="0"/>
        <w:rPr/>
      </w:pPr>
      <w:r>
        <w:rPr>
          <w:rFonts w:eastAsia="Times New Roman" w:cs="Arial"/>
          <w:bCs/>
          <w:kern w:val="2"/>
          <w:lang w:eastAsia="cs-CZ"/>
        </w:rPr>
        <w:t>Umístění staveb musí odpovídat urbanistickému a architektonickému charakteru prostředí a požadavkům na zachování pohody bydlení a zdravého životního prostředí.</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Normal"/>
        <w:widowControl w:val="false"/>
        <w:ind w:hanging="0"/>
        <w:rPr/>
      </w:pPr>
      <w:r>
        <w:rPr>
          <w:rFonts w:eastAsia="Times New Roman" w:cs="Arial"/>
          <w:bCs/>
          <w:kern w:val="2"/>
          <w:lang w:eastAsia="cs-CZ"/>
        </w:rPr>
        <w:t xml:space="preserve">Lze uvést, že předmětná stavba má být umístěna nedaleko obytné zástavby, to jak městských částí hl. m. Prahy, tak i okolních obcí. Umístění navrhované stavby bude v důsledku enormního nárůstu hlukové zátěže v důsledku rozšíření a zkapacitnění letiště znamenat nepřípustný zásah do práva účastníků řízení na zachování pohody bydlení. Nejvyšší správní soud ve své konstantní judikatuře (např. rozsudek Nejvyššího správního soudu č.j. 8 As 27/2012 – 113 nebo č.j. 2 As 44/2005) definuje pohodu bydlení jako </w:t>
      </w:r>
      <w:r>
        <w:rPr>
          <w:rFonts w:eastAsia="Times New Roman" w:cs="Arial"/>
          <w:bCs/>
          <w:i/>
          <w:iCs/>
          <w:kern w:val="2"/>
          <w:lang w:eastAsia="cs-CZ"/>
        </w:rPr>
        <w:t>„souhrn činitelů a vlivů, které přispívají k tomu, aby bydlení bylo zdravé a vhodné pro všechny kategorie uživatelů, resp. aby byla vytvořena vhodná atmosféra klidného bydlení; pohoda bydlení je v tomto pojetí dána zejména kvalitou jednotlivých složek životního prostředí</w:t>
      </w:r>
      <w:r>
        <w:rPr>
          <w:rFonts w:eastAsia="Times New Roman" w:cs="Arial"/>
          <w:b/>
          <w:i/>
          <w:iCs/>
          <w:kern w:val="2"/>
          <w:lang w:eastAsia="cs-CZ"/>
        </w:rPr>
        <w:t>, např. nízkou hladinou hluku (z dopravy, výroby, zábavních podniků, ze stavebních prací aj.), čistotou ovzduší</w:t>
      </w:r>
      <w:r>
        <w:rPr>
          <w:rFonts w:eastAsia="Times New Roman" w:cs="Arial"/>
          <w:bCs/>
          <w:i/>
          <w:iCs/>
          <w:kern w:val="2"/>
          <w:lang w:eastAsia="cs-CZ"/>
        </w:rPr>
        <w:t>, přiměřeným množstvím zeleně, nízkými emisemi pachů a prachu, osluněním apod.; pro zabezpečení pohody bydlení se pak zkoumá intenzita narušení jednotlivých činitelů a jeho důsledky, tedy objektivně existující souhrn činitelů a vlivů, které se posuzují každý jednotlivě a všechny ve vzájemných souvislostech“</w:t>
      </w:r>
      <w:r>
        <w:rPr>
          <w:rFonts w:eastAsia="Times New Roman" w:cs="Arial"/>
          <w:bCs/>
          <w:kern w:val="2"/>
          <w:lang w:eastAsia="cs-CZ"/>
        </w:rPr>
        <w:t>.</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Normal"/>
        <w:widowControl w:val="false"/>
        <w:ind w:hanging="0"/>
        <w:rPr/>
      </w:pPr>
      <w:r>
        <w:rPr>
          <w:rFonts w:eastAsia="Times New Roman" w:cs="Arial"/>
          <w:bCs/>
          <w:kern w:val="2"/>
          <w:lang w:eastAsia="cs-CZ"/>
        </w:rPr>
        <w:t>Současně je podle názoru NSS dle uvedeného rozhodnutí třeba přihlížet i k subjektivním hlediskům daným způsobem života osob, jichž se má stavba dotýkat, pokud tyto subjektivní nároky na pohodu bydlení nevybočují v podstatné míře od obecných standardů se zohledněním místních zvláštností dané lokality, a také k případné památkové ochraně území.</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Normal"/>
        <w:widowControl w:val="false"/>
        <w:ind w:hanging="0"/>
        <w:rPr/>
      </w:pPr>
      <w:r>
        <w:rPr>
          <w:rFonts w:eastAsia="Times New Roman" w:cs="Arial"/>
          <w:bCs/>
          <w:kern w:val="2"/>
          <w:lang w:eastAsia="cs-CZ"/>
        </w:rPr>
        <w:t>Jak uvedeno výše, posuzovaný záměr je na hranici volné krajiny. Stavba a její trvalý provoz přinesou významný nárůst dopravní zátěže a především pak hlukové zátě</w:t>
      </w:r>
      <w:r>
        <w:rPr>
          <w:rFonts w:eastAsia="Times New Roman" w:cs="Arial"/>
          <w:bCs/>
          <w:kern w:val="2"/>
          <w:shd w:fill="auto" w:val="clear"/>
          <w:lang w:eastAsia="cs-CZ"/>
        </w:rPr>
        <w:t>že, a to jak z leteckého provozu, tak s tím spojeného nárůstu dopravy.</w:t>
      </w:r>
    </w:p>
    <w:p>
      <w:pPr>
        <w:pStyle w:val="Normal"/>
        <w:widowControl w:val="false"/>
        <w:ind w:firstLine="709"/>
        <w:rPr>
          <w:rFonts w:eastAsia="Times New Roman" w:cs="Arial"/>
          <w:bCs/>
          <w:kern w:val="2"/>
          <w:highlight w:val="none"/>
          <w:shd w:fill="auto" w:val="clear"/>
          <w:lang w:eastAsia="cs-CZ"/>
        </w:rPr>
      </w:pPr>
      <w:r>
        <w:rPr>
          <w:rFonts w:eastAsia="Times New Roman" w:cs="Arial"/>
          <w:bCs/>
          <w:kern w:val="2"/>
          <w:shd w:fill="auto" w:val="clear"/>
          <w:lang w:eastAsia="cs-CZ"/>
        </w:rPr>
      </w:r>
    </w:p>
    <w:p>
      <w:pPr>
        <w:pStyle w:val="Normal"/>
        <w:widowControl w:val="false"/>
        <w:ind w:hanging="0"/>
        <w:rPr/>
      </w:pPr>
      <w:r>
        <w:rPr>
          <w:bCs/>
        </w:rPr>
        <w:t>V této souvislosti je nezbytné poukázat na čl. 35 odst. 3 Listiny základních práv a svobod, podle kterého při výkonu svých práv nikdo nesmí ohrožovat ani poškozovat životní prostředí, přírodní zdroje, druhové bohatství přírody a kulturní památky nad míru stanovenou zákonem. Nelze tedy umístit záměr, který zhorší již stávající nadlimitní hlukovou zátěž v dané lokalitě.</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ListParagraph"/>
        <w:widowControl w:val="false"/>
        <w:numPr>
          <w:ilvl w:val="0"/>
          <w:numId w:val="2"/>
        </w:numPr>
        <w:spacing w:before="0" w:after="0"/>
        <w:contextualSpacing/>
        <w:jc w:val="both"/>
        <w:rPr/>
      </w:pPr>
      <w:r>
        <w:rPr>
          <w:rFonts w:eastAsia="Times New Roman" w:cs="Arial" w:ascii="Arial" w:hAnsi="Arial"/>
          <w:b/>
          <w:kern w:val="2"/>
          <w:lang w:eastAsia="cs-CZ"/>
        </w:rPr>
        <w:t>Nezákonné stanovisko EIA</w:t>
      </w:r>
    </w:p>
    <w:p>
      <w:pPr>
        <w:pStyle w:val="Normal"/>
        <w:ind w:hanging="0"/>
        <w:rPr/>
      </w:pPr>
      <w:r>
        <w:rPr>
          <w:rFonts w:cs="Arial"/>
        </w:rPr>
        <w:t xml:space="preserve">Účastník namítá, že došlo k nezákonnému prodloužení stanoviska EIA. Původní závazné stanovisko EIA bylo vydáno v roce 2011, přičemž bylo opakovaně prodlouženo, naposledy stanoviskem ze dne 29. 2. 2024. Shora uvedený účastník řízení je přesvědčen, že prodloužení stanoviska EIA je nezákonné a věcně nesprávné, neboť nebyly splněny podmínky a nebyly prokázány důvody, pro které může být původnímu stanovisku EIA z roku 2011 již podruhé prodloužena platnost. </w:t>
      </w:r>
    </w:p>
    <w:p>
      <w:pPr>
        <w:pStyle w:val="Normal"/>
        <w:ind w:firstLine="720"/>
        <w:rPr>
          <w:rFonts w:cs="Arial"/>
        </w:rPr>
      </w:pPr>
      <w:r>
        <w:rPr>
          <w:rFonts w:cs="Arial"/>
        </w:rPr>
      </w:r>
    </w:p>
    <w:p>
      <w:pPr>
        <w:pStyle w:val="Normal"/>
        <w:ind w:hanging="0"/>
        <w:rPr/>
      </w:pPr>
      <w:r>
        <w:rPr>
          <w:rFonts w:eastAsia="Times New Roman" w:cs="Arial"/>
          <w:lang w:eastAsia="cs-CZ"/>
        </w:rPr>
        <w:t>Podle ust. § 9a odst. 4 a 5 zákona č. 100/2001 Sb., o posuzování vlivů na životní prostředí, ve znění pozdějších předpisů (dále jen „zákon EIA“) cit:</w:t>
      </w:r>
    </w:p>
    <w:p>
      <w:pPr>
        <w:pStyle w:val="Normal"/>
        <w:ind w:firstLine="720"/>
        <w:rPr>
          <w:rFonts w:eastAsia="Times New Roman" w:cs="Arial"/>
          <w:lang w:eastAsia="cs-CZ"/>
        </w:rPr>
      </w:pPr>
      <w:r>
        <w:rPr>
          <w:rFonts w:eastAsia="Times New Roman" w:cs="Arial"/>
          <w:lang w:eastAsia="cs-CZ"/>
        </w:rPr>
      </w:r>
    </w:p>
    <w:p>
      <w:pPr>
        <w:pStyle w:val="Normal"/>
        <w:ind w:hanging="0"/>
        <w:rPr/>
      </w:pPr>
      <w:r>
        <w:rPr>
          <w:rFonts w:eastAsia="Times New Roman" w:cs="Arial"/>
          <w:lang w:eastAsia="cs-CZ"/>
        </w:rPr>
        <w:t>„</w:t>
      </w:r>
      <w:r>
        <w:rPr>
          <w:rFonts w:eastAsia="Times New Roman" w:cs="Arial"/>
          <w:i/>
          <w:iCs/>
          <w:lang w:eastAsia="cs-CZ"/>
        </w:rPr>
        <w:t xml:space="preserve">(4) Platnost stanoviska je 7 let ode dne jeho vydání. Platnost stanoviska příslušný úřad na žádost oznamovatele prodlouží o 5 let, a to i opakovaně, pokud nedošlo </w:t>
      </w:r>
      <w:r>
        <w:rPr>
          <w:rFonts w:eastAsia="Times New Roman" w:cs="Arial"/>
          <w:b/>
          <w:bCs/>
          <w:i/>
          <w:iCs/>
          <w:lang w:eastAsia="cs-CZ"/>
        </w:rPr>
        <w:t>ke změnám podmínek v dotčeném území nebo poznatků a metod posuzování</w:t>
      </w:r>
      <w:r>
        <w:rPr>
          <w:rFonts w:eastAsia="Times New Roman" w:cs="Arial"/>
          <w:i/>
          <w:iCs/>
          <w:lang w:eastAsia="cs-CZ"/>
        </w:rPr>
        <w:t xml:space="preserve">, </w:t>
      </w:r>
      <w:r>
        <w:rPr>
          <w:rFonts w:eastAsia="Times New Roman" w:cs="Arial"/>
          <w:b/>
          <w:bCs/>
          <w:i/>
          <w:iCs/>
          <w:lang w:eastAsia="cs-CZ"/>
        </w:rPr>
        <w:t xml:space="preserve">v jejichž důsledku by záměr </w:t>
      </w:r>
      <w:r>
        <w:rPr>
          <w:rFonts w:eastAsia="Times New Roman" w:cs="Arial"/>
          <w:b/>
          <w:bCs/>
          <w:i/>
          <w:iCs/>
          <w:u w:val="single"/>
          <w:lang w:eastAsia="cs-CZ"/>
        </w:rPr>
        <w:t>mohl mít</w:t>
      </w:r>
      <w:r>
        <w:rPr>
          <w:rFonts w:eastAsia="Times New Roman" w:cs="Arial"/>
          <w:b/>
          <w:bCs/>
          <w:i/>
          <w:iCs/>
          <w:lang w:eastAsia="cs-CZ"/>
        </w:rPr>
        <w:t xml:space="preserve"> dosud neposouzené významné vlivy na životní prostředí</w:t>
      </w:r>
      <w:r>
        <w:rPr>
          <w:rFonts w:eastAsia="Times New Roman" w:cs="Arial"/>
          <w:i/>
          <w:iCs/>
          <w:lang w:eastAsia="cs-CZ"/>
        </w:rPr>
        <w:t>. Žádost o prodloužení platnosti stanoviska musí být podána před jejím uplynutím; platnost stanoviska neuplyne, dokud není žádost vyřízena. Součástí žádosti o prodloužení platnosti stanoviska je podklad obsahující popis aktuálního stavu dotčeného území včetně souhrnu změn oproti stavu v době vydání stanoviska. Dojde-li ke zrušení rozhodnutí v navazujícím řízení v prvním stupni podle odstavce 3 věty třetí, má se za to, že platnost stanoviska neuplyne dříve než 60 dnů po dni, kdy ke zrušení takového rozhodnutí došlo.</w:t>
      </w:r>
    </w:p>
    <w:p>
      <w:pPr>
        <w:pStyle w:val="Normal"/>
        <w:ind w:firstLine="720"/>
        <w:rPr>
          <w:rFonts w:eastAsia="Times New Roman" w:cs="Arial"/>
          <w:i/>
          <w:i/>
          <w:iCs/>
          <w:lang w:eastAsia="cs-CZ"/>
        </w:rPr>
      </w:pPr>
      <w:r>
        <w:rPr>
          <w:rFonts w:eastAsia="Times New Roman" w:cs="Arial"/>
          <w:i/>
          <w:iCs/>
          <w:lang w:eastAsia="cs-CZ"/>
        </w:rPr>
      </w:r>
    </w:p>
    <w:p>
      <w:pPr>
        <w:pStyle w:val="Normal"/>
        <w:ind w:hanging="0"/>
        <w:rPr/>
      </w:pPr>
      <w:r>
        <w:rPr>
          <w:rFonts w:eastAsia="Times New Roman" w:cs="Arial"/>
          <w:i/>
          <w:iCs/>
          <w:lang w:eastAsia="cs-CZ"/>
        </w:rPr>
        <w:t>(5) Nelze-li platnost stanoviska prodloužit z důvodu změn podle odstavce 4 věty druhé, které se vztahují pouze k určité části nebo etapě záměru, je taková část nebo etapa předmětem posuzování podle § 4 odst. 1 písm. h). Oznamovatel k takové části nebo etapě záměru předloží oznámení podle § 6 ve lhůtě stanovené příslušným úřadem. Dojde-li k vydání rozhodnutí podle § 7 odst. 6, příslušný úřad platnost stanoviska prodlouží. Nepředloží-li oznamovatel oznámení ve stanovené lhůtě nebo je-li vydán odůvodněný písemný závěr podle § 7 odst. 5, příslušný úřad platnost stanoviska prodlouží jen částečně, a to v rozsahu, ve kterém se jej nedotýkají změny podle věty první</w:t>
      </w:r>
      <w:r>
        <w:rPr>
          <w:rFonts w:eastAsia="Times New Roman" w:cs="Arial"/>
          <w:lang w:eastAsia="cs-CZ"/>
        </w:rPr>
        <w:t>.“ (zvýrazněno účastníkem).</w:t>
      </w:r>
    </w:p>
    <w:p>
      <w:pPr>
        <w:pStyle w:val="Normal"/>
        <w:ind w:firstLine="720"/>
        <w:rPr>
          <w:rFonts w:eastAsia="Times New Roman" w:cs="Arial"/>
          <w:lang w:eastAsia="cs-CZ"/>
        </w:rPr>
      </w:pPr>
      <w:r>
        <w:rPr>
          <w:rFonts w:eastAsia="Times New Roman" w:cs="Arial"/>
          <w:lang w:eastAsia="cs-CZ"/>
        </w:rPr>
      </w:r>
    </w:p>
    <w:p>
      <w:pPr>
        <w:pStyle w:val="Normal"/>
        <w:ind w:hanging="0"/>
        <w:rPr/>
      </w:pPr>
      <w:r>
        <w:rPr>
          <w:rFonts w:eastAsia="Times New Roman" w:cs="Arial"/>
          <w:lang w:eastAsia="cs-CZ"/>
        </w:rPr>
        <w:t xml:space="preserve">Účastník je přesvědčen, že od doby vydání původního stanoviska EIA </w:t>
      </w:r>
      <w:r>
        <w:rPr>
          <w:rFonts w:eastAsia="Times New Roman" w:cs="Arial"/>
          <w:b/>
          <w:bCs/>
          <w:lang w:eastAsia="cs-CZ"/>
        </w:rPr>
        <w:t>před třinácti (!) lety</w:t>
      </w:r>
      <w:r>
        <w:rPr>
          <w:rFonts w:eastAsia="Times New Roman" w:cs="Arial"/>
          <w:lang w:eastAsia="cs-CZ"/>
        </w:rPr>
        <w:t xml:space="preserve"> </w:t>
      </w:r>
      <w:r>
        <w:rPr>
          <w:rFonts w:eastAsia="Times New Roman" w:cs="Arial"/>
          <w:b/>
          <w:bCs/>
          <w:lang w:eastAsia="cs-CZ"/>
        </w:rPr>
        <w:t>došlo ke změnám podmínek v dotčeném území a též poznatků a metod posuzování, v jejichž důsledku by záměr mohl mít dosud neposouzené významné vlivy na životní prostředí.</w:t>
      </w:r>
      <w:r>
        <w:rPr>
          <w:rFonts w:eastAsia="Times New Roman" w:cs="Arial"/>
          <w:lang w:eastAsia="cs-CZ"/>
        </w:rPr>
        <w:t xml:space="preserve"> Účastník zdůrazňuje, že pro neprodloužení stanoviska EIA je dle závazného textu § 94 a odst. 4 zákona EIA dostačující potenciál dosud neposouzených významných vlivů na životní prostředí (srovnej „mohl mít“ nikoliv „má“). Toto ustanovení je třeba vykládat v souladu s principem předběžné opatrnosti dle § 13 zákona č. 17/1992 Sb., o životním prostředí, ve znění pozdějších předpisů.</w:t>
      </w:r>
    </w:p>
    <w:p>
      <w:pPr>
        <w:pStyle w:val="Normal"/>
        <w:ind w:firstLine="720"/>
        <w:rPr>
          <w:rFonts w:eastAsia="Times New Roman" w:cs="Arial"/>
          <w:lang w:eastAsia="cs-CZ"/>
        </w:rPr>
      </w:pPr>
      <w:r>
        <w:rPr>
          <w:rFonts w:eastAsia="Times New Roman" w:cs="Arial"/>
          <w:lang w:eastAsia="cs-CZ"/>
        </w:rPr>
      </w:r>
    </w:p>
    <w:p>
      <w:pPr>
        <w:pStyle w:val="Normal"/>
        <w:ind w:hanging="0"/>
        <w:rPr/>
      </w:pPr>
      <w:r>
        <w:rPr>
          <w:rFonts w:eastAsia="Times New Roman" w:cs="Arial"/>
          <w:lang w:eastAsia="cs-CZ"/>
        </w:rPr>
        <w:t xml:space="preserve">Podle rozsudku Nejvyššího správního soudu ze dne 28. 2. 2020, čj. </w:t>
      </w:r>
      <w:r>
        <w:rPr>
          <w:rFonts w:eastAsia="Times New Roman" w:cs="Arial"/>
          <w:b/>
          <w:bCs/>
          <w:lang w:eastAsia="cs-CZ"/>
        </w:rPr>
        <w:t xml:space="preserve">6 As 104/2019-70 </w:t>
      </w:r>
      <w:r>
        <w:rPr>
          <w:rFonts w:eastAsia="Times New Roman" w:cs="Arial"/>
          <w:lang w:eastAsia="cs-CZ"/>
        </w:rPr>
        <w:t xml:space="preserve">cit: </w:t>
      </w:r>
    </w:p>
    <w:p>
      <w:pPr>
        <w:pStyle w:val="Normal"/>
        <w:ind w:firstLine="720"/>
        <w:rPr>
          <w:rFonts w:eastAsia="Times New Roman" w:cs="Arial"/>
          <w:lang w:eastAsia="cs-CZ"/>
        </w:rPr>
      </w:pPr>
      <w:r>
        <w:rPr>
          <w:rFonts w:eastAsia="Times New Roman" w:cs="Arial"/>
          <w:lang w:eastAsia="cs-CZ"/>
        </w:rPr>
      </w:r>
    </w:p>
    <w:p>
      <w:pPr>
        <w:pStyle w:val="Normal"/>
        <w:ind w:hanging="0"/>
        <w:rPr/>
      </w:pPr>
      <w:r>
        <w:rPr>
          <w:rFonts w:eastAsia="Times New Roman" w:cs="Arial"/>
          <w:i/>
          <w:iCs/>
          <w:lang w:eastAsia="cs-CZ"/>
        </w:rPr>
        <w:t>„</w:t>
      </w:r>
      <w:r>
        <w:rPr>
          <w:rFonts w:eastAsia="Times New Roman" w:cs="Arial"/>
          <w:i/>
          <w:iCs/>
          <w:lang w:eastAsia="cs-CZ"/>
        </w:rPr>
        <w:t xml:space="preserve">[27] Nejvyšší správní soud na tomto místě zdůrazňuje, že správní orgán musí odbornou úvahu o tom, že záměr nebude mít významný negativní vliv, učinit s jistotou. </w:t>
      </w:r>
      <w:r>
        <w:rPr>
          <w:rFonts w:eastAsia="Times New Roman" w:cs="Arial"/>
          <w:b/>
          <w:bCs/>
          <w:i/>
          <w:iCs/>
          <w:lang w:eastAsia="cs-CZ"/>
        </w:rPr>
        <w:t>Tak mu velí princip předběžné opatrnosti zakotvený v § 13 zákona č. 17/1992 Sb., o životním prostředí, ve znění pozdějších předpisů.</w:t>
      </w:r>
      <w:r>
        <w:rPr>
          <w:rFonts w:eastAsia="Times New Roman" w:cs="Arial"/>
          <w:i/>
          <w:iCs/>
          <w:lang w:eastAsia="cs-CZ"/>
        </w:rPr>
        <w:t xml:space="preserve"> Ten stanoví, že „lze-li se zřetelem ke všem okolnostem předpokládat, že hrozí nebezpečí nevratného nebo závažného poškození životního prostředí, nesmí být pochybnost o tom, že k takovému poškození skutečně dojde, důvodem pro odklad opatření, jež mají poškození zabránit.“ </w:t>
      </w:r>
      <w:r>
        <w:rPr>
          <w:rFonts w:eastAsia="Times New Roman" w:cs="Arial"/>
          <w:b/>
          <w:bCs/>
          <w:i/>
          <w:iCs/>
          <w:lang w:eastAsia="cs-CZ"/>
        </w:rPr>
        <w:t>Tento princip se musí uplatnit ve všech (zejména správních) procesech dotýkajících se životního prostředí.</w:t>
      </w:r>
      <w:r>
        <w:rPr>
          <w:rFonts w:eastAsia="Times New Roman" w:cs="Arial"/>
          <w:i/>
          <w:iCs/>
          <w:lang w:eastAsia="cs-CZ"/>
        </w:rPr>
        <w:t xml:space="preserve"> Jestliže má tedy správní orgán sebemenší pochybnosti v tom směru, že by snad záměr významný negativní vliv na životní prostředí mít mohl, měl by vždy dát přednost provedení zjišťovacího řízení. Pochybnosti přitom mohou vyvěrat jak z nedostatečných nebo nejasných údajů poskytnutých oznamovatelem, tak i z nedostatku vědeckých informací ohledně dopadů určitých činností na životní prostředí. </w:t>
      </w:r>
      <w:r>
        <w:rPr>
          <w:rFonts w:eastAsia="Times New Roman" w:cs="Arial"/>
          <w:b/>
          <w:bCs/>
          <w:i/>
          <w:iCs/>
          <w:lang w:eastAsia="cs-CZ"/>
        </w:rPr>
        <w:t>Pochybnosti může do posuzovacího procesu vnést „zvnějšku“ i záměrem dotčená veřejnost v podobě výhrad a připomínek</w:t>
      </w:r>
      <w:r>
        <w:rPr>
          <w:rFonts w:eastAsia="Times New Roman" w:cs="Arial"/>
          <w:i/>
          <w:iCs/>
          <w:lang w:eastAsia="cs-CZ"/>
        </w:rPr>
        <w:t xml:space="preserve">, jestliže je nebude správní orgán schopen s využitím svých odborných znalostí přesvědčivě vyvrátit.“ </w:t>
      </w:r>
      <w:r>
        <w:rPr>
          <w:rFonts w:eastAsia="Times New Roman" w:cs="Arial"/>
          <w:lang w:eastAsia="cs-CZ"/>
        </w:rPr>
        <w:t>(zvýrazněno účastníkem).</w:t>
      </w:r>
    </w:p>
    <w:p>
      <w:pPr>
        <w:pStyle w:val="Normal"/>
        <w:ind w:firstLine="720"/>
        <w:rPr>
          <w:rFonts w:eastAsia="Times New Roman" w:cs="Arial"/>
          <w:lang w:eastAsia="cs-CZ"/>
        </w:rPr>
      </w:pPr>
      <w:r>
        <w:rPr>
          <w:rFonts w:eastAsia="Times New Roman" w:cs="Arial"/>
          <w:lang w:eastAsia="cs-CZ"/>
        </w:rPr>
      </w:r>
    </w:p>
    <w:p>
      <w:pPr>
        <w:pStyle w:val="Normal"/>
        <w:ind w:hanging="0"/>
        <w:rPr/>
      </w:pPr>
      <w:r>
        <w:rPr>
          <w:rFonts w:eastAsia="Times New Roman" w:cs="Arial"/>
          <w:lang w:eastAsia="cs-CZ"/>
        </w:rPr>
        <w:t>Shora judikovaný princip předběžné opatrnosti se tak uplatní i v úvahách o prodloužení platnosti stanoviska EIA.</w:t>
      </w:r>
    </w:p>
    <w:p>
      <w:pPr>
        <w:pStyle w:val="Normal"/>
        <w:ind w:firstLine="720"/>
        <w:rPr>
          <w:rFonts w:eastAsia="Times New Roman" w:cs="Arial"/>
          <w:lang w:eastAsia="cs-CZ"/>
        </w:rPr>
      </w:pPr>
      <w:r>
        <w:rPr>
          <w:rFonts w:eastAsia="Times New Roman" w:cs="Arial"/>
          <w:lang w:eastAsia="cs-CZ"/>
        </w:rPr>
      </w:r>
    </w:p>
    <w:p>
      <w:pPr>
        <w:pStyle w:val="Normal"/>
        <w:ind w:hanging="0"/>
        <w:rPr/>
      </w:pPr>
      <w:r>
        <w:rPr>
          <w:rFonts w:eastAsia="Times New Roman" w:cs="Arial"/>
          <w:lang w:eastAsia="cs-CZ"/>
        </w:rPr>
        <w:t>Vydané prodloužení platnosti stanoviska EIA je dle účastníka nezákonné a mělo by být zrušeno.</w:t>
      </w:r>
      <w:r>
        <w:rPr/>
        <w:t xml:space="preserve"> </w:t>
      </w:r>
      <w:r>
        <w:rPr>
          <w:rFonts w:eastAsia="Times New Roman" w:cs="Arial"/>
          <w:lang w:eastAsia="cs-CZ"/>
        </w:rPr>
        <w:t xml:space="preserve">Neprovedení nového procesu EIA zkrátilo veřejnost na právu účastnit se rozhodování o záměru v dostatečně raném stadiu, kdy může být taková účast ještě účinná, což je </w:t>
      </w:r>
      <w:r>
        <w:rPr>
          <w:rFonts w:eastAsia="Times New Roman" w:cs="Arial"/>
          <w:b/>
          <w:bCs/>
          <w:lang w:eastAsia="cs-CZ"/>
        </w:rPr>
        <w:t>v rozporu s Aarhuskou úmluvou</w:t>
      </w:r>
      <w:r>
        <w:rPr>
          <w:rFonts w:eastAsia="Times New Roman" w:cs="Arial"/>
          <w:lang w:eastAsia="cs-CZ"/>
        </w:rPr>
        <w:t xml:space="preserve">. K tomu účastník řízení odkazuje na </w:t>
      </w:r>
      <w:r>
        <w:rPr>
          <w:rFonts w:eastAsia="Times New Roman" w:cs="Arial"/>
          <w:b/>
          <w:bCs/>
          <w:lang w:eastAsia="cs-CZ"/>
        </w:rPr>
        <w:t>nálezy Ústavního soudu sp. zn. IV. ÚS 2239/07 a I. ÚS 59/14</w:t>
      </w:r>
      <w:r>
        <w:rPr>
          <w:rFonts w:eastAsia="Times New Roman" w:cs="Arial"/>
          <w:lang w:eastAsia="cs-CZ"/>
        </w:rPr>
        <w:t>).</w:t>
      </w:r>
    </w:p>
    <w:p>
      <w:pPr>
        <w:pStyle w:val="Normal"/>
        <w:ind w:firstLine="720"/>
        <w:rPr>
          <w:rFonts w:eastAsia="Times New Roman" w:cs="Arial"/>
          <w:lang w:eastAsia="cs-CZ"/>
        </w:rPr>
      </w:pPr>
      <w:r>
        <w:rPr>
          <w:rFonts w:eastAsia="Times New Roman" w:cs="Arial"/>
          <w:lang w:eastAsia="cs-CZ"/>
        </w:rPr>
      </w:r>
    </w:p>
    <w:p>
      <w:pPr>
        <w:pStyle w:val="Normal"/>
        <w:ind w:hanging="0"/>
        <w:rPr/>
      </w:pPr>
      <w:r>
        <w:rPr>
          <w:rFonts w:eastAsia="MS Mincho" w:cs="Arial"/>
        </w:rPr>
        <w:t>Dále lze upozornit, že od roku 2011, kdy bylo vydáno závazné stanovisko EIA, došlo k </w:t>
      </w:r>
      <w:r>
        <w:rPr>
          <w:rFonts w:eastAsia="MS Mincho" w:cs="Arial"/>
          <w:bCs/>
        </w:rPr>
        <w:t>výstavbě objektů k bydlení i ke skladování, a to ve všech přilehlých městských částech hl. m. Prahy a okolních obcích.</w:t>
      </w:r>
      <w:r>
        <w:rPr>
          <w:rFonts w:eastAsia="MS Mincho" w:cs="Arial"/>
          <w:b/>
        </w:rPr>
        <w:t xml:space="preserve"> </w:t>
      </w:r>
    </w:p>
    <w:p>
      <w:pPr>
        <w:pStyle w:val="Normal"/>
        <w:rPr>
          <w:rFonts w:eastAsia="MS Mincho" w:cs="Arial"/>
        </w:rPr>
      </w:pPr>
      <w:r>
        <w:rPr>
          <w:rFonts w:eastAsia="MS Mincho" w:cs="Arial"/>
        </w:rPr>
      </w:r>
    </w:p>
    <w:p>
      <w:pPr>
        <w:pStyle w:val="Normal"/>
        <w:tabs>
          <w:tab w:val="clear" w:pos="708"/>
          <w:tab w:val="left" w:pos="0" w:leader="none"/>
        </w:tabs>
        <w:ind w:hanging="0"/>
        <w:rPr/>
      </w:pPr>
      <w:r>
        <w:rPr>
          <w:rFonts w:cs="Arial"/>
        </w:rPr>
        <w:t xml:space="preserve">Míru únosného zatížení území či limity území v oblasti ochrany zdraví před hlukem stanoví </w:t>
      </w:r>
      <w:r>
        <w:rPr>
          <w:rFonts w:cs="Arial"/>
          <w:b/>
        </w:rPr>
        <w:t>předpisy o ochraně veřejného zdraví</w:t>
      </w:r>
      <w:r>
        <w:rPr>
          <w:rFonts w:cs="Arial"/>
        </w:rPr>
        <w:t>, zákon č. 258/2000 Sb., o ochraně veřejného zdraví, a nařízení vlády č. 272/2011 Sb., o ochraně zdraví před nepříznivými účinky hluku a vibrací. Podle ustanovení § 30 odst. 1 zákona o ochraně veřejného zdraví osoba, která používá, popřípadě provozuje stroje a zařízení, které jsou zdrojem hluku nebo vibrací, provozovatel letiště, vlastník, popřípadě správce pozemní komunikace, vlastník dráhy a provozovatel dalších objektů, jejichž provozem vzniká hluk (dále jen "zdroje hluku nebo vibrací"), jsou povinni technickými, organizačními a dalšími opatřeními v rozsahu stanoveném tímto zákonem a prováděcím právním předpisem zajistit, aby hluk nepřekračoval hygienické limity upravené prováděcím právním předpisem pro chráněný venkovní prostor, chráněné vnitřní prostory staveb a chráněné venkovní prostory staveb.</w:t>
      </w:r>
    </w:p>
    <w:p>
      <w:pPr>
        <w:pStyle w:val="Normal"/>
        <w:rPr>
          <w:rFonts w:cs="Arial"/>
          <w:lang w:eastAsia="ar-SA"/>
        </w:rPr>
      </w:pPr>
      <w:r>
        <w:rPr>
          <w:rFonts w:cs="Arial"/>
          <w:lang w:eastAsia="ar-SA"/>
        </w:rPr>
      </w:r>
    </w:p>
    <w:p>
      <w:pPr>
        <w:pStyle w:val="Normal"/>
        <w:widowControl w:val="false"/>
        <w:ind w:hanging="0"/>
        <w:textAlignment w:val="baseline"/>
        <w:rPr/>
      </w:pPr>
      <w:r>
        <w:rPr>
          <w:rFonts w:eastAsia="Times New Roman" w:cs="Arial"/>
          <w:kern w:val="2"/>
          <w:lang w:eastAsia="ar-SA"/>
        </w:rPr>
        <w:t xml:space="preserve">Již v současném stavu jsou v dané lokalitě překračovány závazné hygienické limity hluku. </w:t>
      </w:r>
    </w:p>
    <w:p>
      <w:pPr>
        <w:pStyle w:val="Normal"/>
        <w:widowControl w:val="false"/>
        <w:ind w:firstLine="709"/>
        <w:textAlignment w:val="baseline"/>
        <w:rPr>
          <w:rFonts w:eastAsia="Times New Roman" w:cs="Arial"/>
          <w:bCs/>
          <w:kern w:val="2"/>
          <w:lang w:eastAsia="ar-SA"/>
        </w:rPr>
      </w:pPr>
      <w:r>
        <w:rPr>
          <w:rFonts w:eastAsia="Times New Roman" w:cs="Arial"/>
          <w:bCs/>
          <w:kern w:val="2"/>
          <w:lang w:eastAsia="ar-SA"/>
        </w:rPr>
      </w:r>
    </w:p>
    <w:p>
      <w:pPr>
        <w:pStyle w:val="Normal"/>
        <w:widowControl w:val="false"/>
        <w:ind w:hanging="0"/>
        <w:textAlignment w:val="baseline"/>
        <w:rPr/>
      </w:pPr>
      <w:r>
        <w:rPr>
          <w:rFonts w:eastAsia="Times New Roman" w:cs="Arial"/>
          <w:bCs/>
          <w:kern w:val="2"/>
          <w:lang w:eastAsia="ar-SA"/>
        </w:rPr>
        <w:t>Další navýšení již nadlimitní hlukové zátěže v důsledku realizace a následného trvalého užívání záměru je přitom nepřípustné (viz rozsudek Nejvyššího správního soudu ze dne 31. 1. 2012, č.j. 1 As 135/2011 – 246).</w:t>
      </w:r>
    </w:p>
    <w:p>
      <w:pPr>
        <w:pStyle w:val="Normal"/>
        <w:widowControl w:val="false"/>
        <w:ind w:firstLine="709"/>
        <w:textAlignment w:val="baseline"/>
        <w:rPr>
          <w:rFonts w:eastAsia="Times New Roman" w:cs="Arial"/>
          <w:bCs/>
          <w:kern w:val="2"/>
          <w:lang w:eastAsia="ar-SA"/>
        </w:rPr>
      </w:pPr>
      <w:r>
        <w:rPr>
          <w:rFonts w:eastAsia="Times New Roman" w:cs="Arial"/>
          <w:bCs/>
          <w:kern w:val="2"/>
          <w:lang w:eastAsia="ar-SA"/>
        </w:rPr>
      </w:r>
    </w:p>
    <w:p>
      <w:pPr>
        <w:pStyle w:val="Normal"/>
        <w:widowControl w:val="false"/>
        <w:ind w:hanging="0"/>
        <w:textAlignment w:val="baseline"/>
        <w:rPr/>
      </w:pPr>
      <w:r>
        <w:rPr>
          <w:rFonts w:cs="Arial"/>
        </w:rPr>
        <w:t xml:space="preserve">Podle ustanovení § 11 zákona č. 17/1992 Sb., o životním prostředí, ve znění pozdějších předpisů, </w:t>
      </w:r>
      <w:r>
        <w:rPr>
          <w:rFonts w:cs="Arial"/>
          <w:b/>
        </w:rPr>
        <w:t>nesmí být území zatěžováno lidskou činností nad míru únosného zatížení</w:t>
      </w:r>
      <w:r>
        <w:rPr>
          <w:rFonts w:cs="Arial"/>
        </w:rPr>
        <w:t>. Podle ustanovení § 12 odst. 1 téhož zákona určují přípustnou míru znečišťování životního prostředí mezní hodnoty stanovené zvláštními předpisy; tyto hodnoty se stanoví v souladu s dosaženým stavem poznání tak, aby nebylo ohrožováno zdraví lidí a aby nebyly ohrožovány další živé organismy a ostatní složky životního prostředí. Podle odst. 2 téhož ustanovení musejí být mezní hodnoty stanoveny s přihlédnutím k možnému kumulativnímu působení nebo spolupůsobení znečišťujících látek a činností. Ustanovení § 13 zákona č. 17/1992 Sb. stanoví, že lze-li se zřetelem ke všem okolnostem předpokládat, že hrozí nebezpečí nevratného nebo závažného poškození životního prostředí, nesmí být pochybnost o tom, že k takovému poškození skutečně dojde, důvodem pro odklad opatření, jež mají poškození zabránit.</w:t>
      </w:r>
    </w:p>
    <w:p>
      <w:pPr>
        <w:pStyle w:val="Normal"/>
        <w:tabs>
          <w:tab w:val="clear" w:pos="708"/>
          <w:tab w:val="left" w:pos="0" w:leader="none"/>
        </w:tabs>
        <w:rPr>
          <w:rFonts w:cs="Arial"/>
        </w:rPr>
      </w:pPr>
      <w:r>
        <w:rPr>
          <w:rFonts w:cs="Arial"/>
        </w:rPr>
      </w:r>
    </w:p>
    <w:p>
      <w:pPr>
        <w:pStyle w:val="Normal"/>
        <w:ind w:hanging="0"/>
        <w:rPr/>
      </w:pPr>
      <w:r>
        <w:rPr>
          <w:rFonts w:cs="Arial"/>
        </w:rPr>
        <w:t xml:space="preserve">Podle Metodického doporučení pro posuzování vlivů obecných koncepcí na životní prostředí, Ministerstvo životního prostředí, musí též analýza stavu území obsahovat aktuální stav složek životního prostředí. </w:t>
      </w:r>
    </w:p>
    <w:p>
      <w:pPr>
        <w:pStyle w:val="Normal"/>
        <w:ind w:firstLine="644"/>
        <w:rPr>
          <w:rFonts w:cs="Arial"/>
        </w:rPr>
      </w:pPr>
      <w:r>
        <w:rPr>
          <w:rFonts w:cs="Arial"/>
        </w:rPr>
      </w:r>
    </w:p>
    <w:p>
      <w:pPr>
        <w:pStyle w:val="Normal"/>
        <w:ind w:hanging="0"/>
        <w:rPr/>
      </w:pPr>
      <w:r>
        <w:rPr>
          <w:rFonts w:cs="Arial"/>
        </w:rPr>
        <w:t>Podle této metodiky cit. „</w:t>
      </w:r>
      <w:r>
        <w:rPr>
          <w:rFonts w:cs="Arial"/>
          <w:i/>
        </w:rPr>
        <w:t xml:space="preserve">Oznámení koncepce tak bude obsahovat základní charakteristiku </w:t>
      </w:r>
      <w:r>
        <w:rPr>
          <w:rFonts w:cs="Arial"/>
          <w:b/>
          <w:i/>
        </w:rPr>
        <w:t>aktuálního stavu</w:t>
      </w:r>
      <w:r>
        <w:rPr>
          <w:rFonts w:cs="Arial"/>
          <w:i/>
        </w:rPr>
        <w:t xml:space="preserve"> </w:t>
      </w:r>
      <w:r>
        <w:rPr>
          <w:rFonts w:cs="Arial"/>
          <w:b/>
          <w:i/>
        </w:rPr>
        <w:t>a vývoje životního prostředí</w:t>
      </w:r>
      <w:r>
        <w:rPr>
          <w:rFonts w:cs="Arial"/>
          <w:i/>
        </w:rPr>
        <w:t xml:space="preserve"> v dotčeném území dle jednotlivých složek životního prostředí a vybraných indikátorů se zaměřením na vztah životního prostředí a veřejného zdraví ve vztahu k předmětu řešení koncepce, která bude využita i pro účely vyhodnocení SEA.“ a cit: „Základní analýza spočívající mimo vymezení dotčeného území v přehledu </w:t>
      </w:r>
      <w:r>
        <w:rPr>
          <w:rFonts w:cs="Arial"/>
          <w:b/>
          <w:i/>
        </w:rPr>
        <w:t>aktuálního stavu a trendů vývoje klíčových složek životního prostředí</w:t>
      </w:r>
      <w:r>
        <w:rPr>
          <w:rFonts w:cs="Arial"/>
          <w:i/>
        </w:rPr>
        <w:t xml:space="preserve"> v dotčeném území se zaměřením k předmětu řešení koncepce.“</w:t>
      </w:r>
    </w:p>
    <w:p>
      <w:pPr>
        <w:pStyle w:val="Normal"/>
        <w:rPr>
          <w:rFonts w:cs="Arial"/>
          <w:b/>
        </w:rPr>
      </w:pPr>
      <w:r>
        <w:rPr>
          <w:rFonts w:cs="Arial"/>
          <w:b/>
        </w:rPr>
      </w:r>
    </w:p>
    <w:p>
      <w:pPr>
        <w:pStyle w:val="Normal"/>
        <w:ind w:hanging="0"/>
        <w:rPr/>
      </w:pPr>
      <w:r>
        <w:rPr>
          <w:rFonts w:cs="Arial"/>
        </w:rPr>
        <w:t xml:space="preserve">V rozsudku č.j. </w:t>
      </w:r>
      <w:r>
        <w:rPr>
          <w:rFonts w:cs="Arial"/>
          <w:b/>
        </w:rPr>
        <w:t>2 As 81/2016 – 157</w:t>
      </w:r>
      <w:r>
        <w:rPr>
          <w:rFonts w:cs="Arial"/>
        </w:rPr>
        <w:t xml:space="preserve"> NSS ke starým podkladům uvádí cit.: „</w:t>
      </w:r>
      <w:r>
        <w:rPr>
          <w:rFonts w:cs="Arial"/>
          <w:i/>
        </w:rPr>
        <w:t xml:space="preserve">Nejvyšší správní soud současně přisvědčuje názoru městského soudu, že pojem „nové podklady“ [kapitola 4. Zprávy o uplatňování zásad územního rozvoje hl. m. Prahy] nelze vykládat přepjatě formalisticky tak, že by v rámci procesu pořízení AZÚR nesměly být použity podklady již dříve vypracované, pokud údaje v nich obsažené zůstaly nadále v platnosti, resp. jsou v daném čase a místě (stále) reálně myslitelné, a tedy nebyly zásadním způsobem zpochybněny či dokonce vyvráceny. </w:t>
      </w:r>
      <w:r>
        <w:rPr>
          <w:rFonts w:cs="Arial"/>
          <w:b/>
          <w:i/>
        </w:rPr>
        <w:t>Podstatnou je zde skutečnost, že „staré podklady“, případně jisté konkrétní údaje v nich uvedené, nebyly překonány a zůstaly tak nadále nosnými</w:t>
      </w:r>
      <w:r>
        <w:rPr>
          <w:rFonts w:cs="Arial"/>
          <w:i/>
        </w:rPr>
        <w:t>.“</w:t>
      </w:r>
      <w:r>
        <w:rPr>
          <w:rFonts w:cs="Arial"/>
        </w:rPr>
        <w:t xml:space="preserve"> (bod 81, zvýrazněno účastníkem).</w:t>
      </w:r>
    </w:p>
    <w:p>
      <w:pPr>
        <w:pStyle w:val="Normal"/>
        <w:ind w:firstLine="709"/>
        <w:rPr>
          <w:rFonts w:cs="Arial"/>
        </w:rPr>
      </w:pPr>
      <w:r>
        <w:rPr>
          <w:rFonts w:cs="Arial"/>
        </w:rPr>
      </w:r>
    </w:p>
    <w:p>
      <w:pPr>
        <w:pStyle w:val="Normal"/>
        <w:ind w:hanging="0"/>
        <w:rPr/>
      </w:pPr>
      <w:r>
        <w:rPr/>
        <w:t xml:space="preserve">Jak uvedeno výše již v současném stavu jsou v lokalitě překračovány závazné hygienické limity hluku. Navíc v prodloužení stanoviska EIA je uvedeno, že v souvislosti s provozem předmětného záměru bude docházet ke kumulativním vlivům se silničním hlukem. </w:t>
      </w:r>
    </w:p>
    <w:p>
      <w:pPr>
        <w:pStyle w:val="Normal"/>
        <w:rPr/>
      </w:pPr>
      <w:r>
        <w:rPr/>
      </w:r>
    </w:p>
    <w:p>
      <w:pPr>
        <w:pStyle w:val="Normal"/>
        <w:ind w:hanging="0"/>
        <w:rPr/>
      </w:pPr>
      <w:r>
        <w:rPr>
          <w:rFonts w:eastAsia="Times New Roman" w:cs="Arial"/>
        </w:rPr>
        <w:t xml:space="preserve">Lze konstatovat, že </w:t>
      </w:r>
      <w:r>
        <w:rPr>
          <w:rFonts w:eastAsia="Times New Roman"/>
          <w:color w:val="000000"/>
        </w:rPr>
        <w:t xml:space="preserve">navýšení kapacity letiště Praha navrhovaným záměrem navýší počet letů a zvýší četnost letecké dopravy, přičemž právě letecká doprava je významným znečišťovatelem klimatu, což jde i proti mezinárodním závazkům ČR vyplývajícím z Pařížské dohody. </w:t>
      </w:r>
    </w:p>
    <w:p>
      <w:pPr>
        <w:pStyle w:val="Normal"/>
        <w:widowControl w:val="false"/>
        <w:tabs>
          <w:tab w:val="clear" w:pos="708"/>
          <w:tab w:val="left" w:pos="426" w:leader="none"/>
        </w:tabs>
        <w:ind w:firstLine="709"/>
        <w:rPr>
          <w:rFonts w:eastAsia="Times New Roman" w:cs="Arial"/>
        </w:rPr>
      </w:pPr>
      <w:r>
        <w:rPr>
          <w:rFonts w:eastAsia="Times New Roman" w:cs="Arial"/>
        </w:rPr>
      </w:r>
    </w:p>
    <w:p>
      <w:pPr>
        <w:pStyle w:val="Normal"/>
        <w:ind w:hanging="0"/>
        <w:rPr/>
      </w:pPr>
      <w:r>
        <w:rPr>
          <w:rFonts w:cs="Arial"/>
        </w:rPr>
        <w:t>Případnou výstavbou záměru paralelní dráhy budou obyvatelé přilehlých lokalit zasaženi tím, že dojde ke zvýšení imisí znečišťujících látek do ovzduší a enormnímu zvýšení hluku (a to nad limity stanovené právními předpisy). Ochrana těchto hodnot je ve veřejném zájmu a v souladu se zásadou trvale udržitelného rozvoje. Předmětný záměr bude mít negativní vliv na zdraví obyvatel a kvalitu jejich života (trvalé zatížení hlukem, prašnost, rušivé světlo, škodliviny z dopravního provozu a průvodních staveb, kontaminace vody a půdy aj.).</w:t>
      </w:r>
    </w:p>
    <w:p>
      <w:pPr>
        <w:pStyle w:val="Normal"/>
        <w:ind w:left="360" w:firstLine="357"/>
        <w:rPr>
          <w:rFonts w:cs="Arial"/>
        </w:rPr>
      </w:pPr>
      <w:r>
        <w:rPr>
          <w:rFonts w:cs="Arial"/>
        </w:rPr>
      </w:r>
    </w:p>
    <w:p>
      <w:pPr>
        <w:pStyle w:val="Normal"/>
        <w:keepNext w:val="true"/>
        <w:ind w:hanging="0"/>
        <w:rPr/>
      </w:pPr>
      <w:r>
        <w:rPr>
          <w:rFonts w:eastAsia="Times New Roman" w:cs="Arial"/>
          <w:iCs/>
        </w:rPr>
        <w:t>U předmětného záměru zcela absentuje posouzení ekonomických nákladů a přínosů dané stavby, stejně jako posouzení jeho reálné potřebnosti. Skutečnost, že je stavba zanesena jako veřejně prospěšná stavba, sama o sobě nezakládá její reálnou potřebnost, stejně tak nemůže převážit nad veřejným zájmem na ochraně zdraví.</w:t>
      </w:r>
    </w:p>
    <w:p>
      <w:pPr>
        <w:pStyle w:val="Normal"/>
        <w:keepNext w:val="true"/>
        <w:ind w:hanging="0"/>
        <w:rPr>
          <w:rFonts w:cs="Arial"/>
        </w:rPr>
      </w:pPr>
      <w:r>
        <w:rPr>
          <w:rFonts w:cs="Arial"/>
        </w:rPr>
      </w:r>
    </w:p>
    <w:p>
      <w:pPr>
        <w:pStyle w:val="Normal"/>
        <w:keepNext w:val="true"/>
        <w:ind w:hanging="0"/>
        <w:rPr/>
      </w:pPr>
      <w:r>
        <w:rPr>
          <w:rFonts w:cs="Arial"/>
        </w:rPr>
        <w:t>Stavba bude mít též výrazný negativní dopad na životní prostředí, který lze očekávat prostřednictvím</w:t>
      </w:r>
      <w:r>
        <w:rPr/>
        <w:t xml:space="preserve"> </w:t>
      </w:r>
      <w:r>
        <w:rPr>
          <w:rFonts w:cs="Arial"/>
        </w:rPr>
        <w:t xml:space="preserve">dalšího významného zhoršení dopravní situace na severním okraji Prahy i díky zastavění velké, dnes částečně zemědělsky obdělávané, plochy. Zatímco nárůst dopravy povede </w:t>
      </w:r>
      <w:r>
        <w:rPr>
          <w:rFonts w:cs="Arial"/>
          <w:b/>
          <w:bCs/>
        </w:rPr>
        <w:t>ke zvýšení hlukové a imisní zátěže</w:t>
      </w:r>
      <w:r>
        <w:rPr>
          <w:rFonts w:cs="Arial"/>
        </w:rPr>
        <w:t>, která je v dané oblasti již dnes za legálními limity, zastavění orné půdy bude mít důsledky ve zrychlení odtoku povrchových vod a potažmo zvýšení rizika povodní, zvýšení odparu, prašnosti a průměrné teploty, omezení území pro vsakování vody a v neposlední řadě i redukci životního prostoru mnoha druhů živočichů, zvláště chráněné nevyjímaje.</w:t>
      </w:r>
    </w:p>
    <w:p>
      <w:pPr>
        <w:pStyle w:val="Normal"/>
        <w:keepNext w:val="true"/>
        <w:ind w:firstLine="708"/>
        <w:rPr>
          <w:rFonts w:cs="Arial"/>
          <w:b/>
          <w:bCs/>
        </w:rPr>
      </w:pPr>
      <w:r>
        <w:rPr>
          <w:rFonts w:cs="Arial"/>
          <w:b/>
          <w:bCs/>
        </w:rPr>
      </w:r>
    </w:p>
    <w:p>
      <w:pPr>
        <w:pStyle w:val="Normal"/>
        <w:widowControl w:val="false"/>
        <w:ind w:firstLine="708"/>
        <w:rPr/>
      </w:pPr>
      <w:r>
        <w:rPr>
          <w:rFonts w:eastAsia="Arial Unicode MS" w:cs="Arial"/>
          <w:b/>
          <w:kern w:val="2"/>
          <w:szCs w:val="21"/>
          <w:u w:val="single"/>
          <w:lang w:eastAsia="cs-CZ" w:bidi="hi-IN"/>
        </w:rPr>
        <w:t>Nezákonná forma prodloužení platnosti stanoviska EIA</w:t>
      </w:r>
    </w:p>
    <w:p>
      <w:pPr>
        <w:pStyle w:val="Normal"/>
        <w:widowControl w:val="false"/>
        <w:ind w:firstLine="708"/>
        <w:rPr>
          <w:rFonts w:eastAsia="Arial Unicode MS" w:cs="Arial"/>
          <w:bCs/>
          <w:kern w:val="2"/>
          <w:szCs w:val="21"/>
          <w:lang w:eastAsia="cs-CZ" w:bidi="hi-IN"/>
        </w:rPr>
      </w:pPr>
      <w:r>
        <w:rPr>
          <w:rFonts w:eastAsia="Arial Unicode MS" w:cs="Arial"/>
          <w:bCs/>
          <w:kern w:val="2"/>
          <w:szCs w:val="21"/>
          <w:lang w:eastAsia="cs-CZ" w:bidi="hi-IN"/>
        </w:rPr>
      </w:r>
    </w:p>
    <w:p>
      <w:pPr>
        <w:pStyle w:val="Normal"/>
        <w:widowControl w:val="false"/>
        <w:ind w:hanging="0"/>
        <w:rPr/>
      </w:pPr>
      <w:r>
        <w:rPr>
          <w:rFonts w:eastAsia="Arial Unicode MS" w:cs="Arial"/>
          <w:bCs/>
          <w:kern w:val="2"/>
          <w:szCs w:val="21"/>
          <w:lang w:eastAsia="cs-CZ" w:bidi="hi-IN"/>
        </w:rPr>
        <w:t xml:space="preserve">Účastník řízení též namítá, že prodloužení stanoviska EIA (ze dne 29. 2. 2024 pod č.j. MZP/2024/710/1364) je provedeno nezákonnou formou. S ohledem na skutečnost, že stanovisko EIA má formu závazného stanoviska podle §149 správního řádu, musí i prodloužení tohoto dokumentu mít formu závazného stanoviska. Tuto formu správního aktu Ministerstvo životního prostředí nerespektuje a prodloužení stanoviska EIA vydalo ve formě prostého sdělení podle části IV. správního řádu. </w:t>
      </w:r>
    </w:p>
    <w:p>
      <w:pPr>
        <w:pStyle w:val="Normal"/>
        <w:widowControl w:val="false"/>
        <w:ind w:firstLine="708"/>
        <w:rPr>
          <w:rFonts w:eastAsia="Arial Unicode MS" w:cs="Arial"/>
          <w:bCs/>
          <w:kern w:val="2"/>
          <w:szCs w:val="21"/>
          <w:lang w:eastAsia="cs-CZ" w:bidi="hi-IN"/>
        </w:rPr>
      </w:pPr>
      <w:r>
        <w:rPr>
          <w:rFonts w:eastAsia="Arial Unicode MS" w:cs="Arial"/>
          <w:bCs/>
          <w:kern w:val="2"/>
          <w:szCs w:val="21"/>
          <w:lang w:eastAsia="cs-CZ" w:bidi="hi-IN"/>
        </w:rPr>
      </w:r>
    </w:p>
    <w:p>
      <w:pPr>
        <w:pStyle w:val="Normal"/>
        <w:widowControl w:val="false"/>
        <w:ind w:hanging="0"/>
        <w:rPr/>
      </w:pPr>
      <w:r>
        <w:rPr>
          <w:rFonts w:eastAsia="Arial Unicode MS" w:cs="Arial"/>
          <w:bCs/>
          <w:kern w:val="2"/>
          <w:szCs w:val="21"/>
          <w:lang w:eastAsia="cs-CZ" w:bidi="hi-IN"/>
        </w:rPr>
        <w:t xml:space="preserve">Tvrzení MŽP uvedené v závěru, že prodloužení formou závazného stanoviska se v daném případě ještě neuplatní, je nezákonné a věcně nesprávné. Jak uvedl Nejvyšší správní soud v rozsudku č.j. 7 As 236/2023-68, cit právní větu: </w:t>
      </w:r>
    </w:p>
    <w:p>
      <w:pPr>
        <w:pStyle w:val="Normal"/>
        <w:widowControl w:val="false"/>
        <w:ind w:firstLine="708"/>
        <w:rPr>
          <w:rFonts w:eastAsia="Arial Unicode MS" w:cs="Arial"/>
          <w:bCs/>
          <w:kern w:val="2"/>
          <w:szCs w:val="21"/>
          <w:lang w:eastAsia="cs-CZ" w:bidi="hi-IN"/>
        </w:rPr>
      </w:pPr>
      <w:r>
        <w:rPr>
          <w:rFonts w:eastAsia="Arial Unicode MS" w:cs="Arial"/>
          <w:bCs/>
          <w:kern w:val="2"/>
          <w:szCs w:val="21"/>
          <w:lang w:eastAsia="cs-CZ" w:bidi="hi-IN"/>
        </w:rPr>
      </w:r>
    </w:p>
    <w:p>
      <w:pPr>
        <w:pStyle w:val="Normal"/>
        <w:widowControl w:val="false"/>
        <w:ind w:hanging="0"/>
        <w:rPr/>
      </w:pPr>
      <w:r>
        <w:rPr>
          <w:rFonts w:eastAsia="Arial Unicode MS" w:cs="Arial"/>
          <w:bCs/>
          <w:kern w:val="2"/>
          <w:szCs w:val="21"/>
          <w:lang w:eastAsia="cs-CZ" w:bidi="hi-IN"/>
        </w:rPr>
        <w:t>„</w:t>
      </w:r>
      <w:r>
        <w:rPr>
          <w:rFonts w:eastAsia="Arial Unicode MS" w:cs="Arial"/>
          <w:bCs/>
          <w:i/>
          <w:iCs/>
          <w:kern w:val="2"/>
          <w:szCs w:val="21"/>
          <w:lang w:eastAsia="cs-CZ" w:bidi="hi-IN"/>
        </w:rPr>
        <w:t>Úkon, jímž se prodlužuje doba platnosti závazného stanoviska k posouzení vlivů provedení záměru na životní prostředí dle § 9a odst. 4 zákona č. 100/2001 Sb., o posuzování vlivů na životní prostředí, ve znění účinném do 31. 12. 2023, je závazným stanoviskem ve smyslu § 149 odst. 1 správního řádu.</w:t>
      </w:r>
      <w:r>
        <w:rPr>
          <w:rFonts w:eastAsia="Arial Unicode MS" w:cs="Arial"/>
          <w:bCs/>
          <w:kern w:val="2"/>
          <w:szCs w:val="21"/>
          <w:lang w:eastAsia="cs-CZ" w:bidi="hi-IN"/>
        </w:rPr>
        <w:t>“</w:t>
      </w:r>
    </w:p>
    <w:p>
      <w:pPr>
        <w:pStyle w:val="Normal"/>
        <w:widowControl w:val="false"/>
        <w:ind w:firstLine="708"/>
        <w:rPr>
          <w:rFonts w:eastAsia="Arial Unicode MS" w:cs="Arial"/>
          <w:bCs/>
          <w:kern w:val="2"/>
          <w:szCs w:val="21"/>
          <w:lang w:eastAsia="cs-CZ" w:bidi="hi-IN"/>
        </w:rPr>
      </w:pPr>
      <w:r>
        <w:rPr>
          <w:rFonts w:eastAsia="Arial Unicode MS" w:cs="Arial"/>
          <w:bCs/>
          <w:kern w:val="2"/>
          <w:szCs w:val="21"/>
          <w:lang w:eastAsia="cs-CZ" w:bidi="hi-IN"/>
        </w:rPr>
      </w:r>
    </w:p>
    <w:p>
      <w:pPr>
        <w:pStyle w:val="Normal"/>
        <w:widowControl w:val="false"/>
        <w:ind w:hanging="0"/>
        <w:rPr/>
      </w:pPr>
      <w:r>
        <w:rPr>
          <w:rFonts w:eastAsia="Arial Unicode MS" w:cs="Arial"/>
          <w:bCs/>
          <w:kern w:val="2"/>
          <w:szCs w:val="21"/>
          <w:lang w:eastAsia="cs-CZ" w:bidi="hi-IN"/>
        </w:rPr>
        <w:t>Prodloužení platnosti stanoviska EIA ve formě prostého sdělení MŽP tak není platným dokumentem.</w:t>
      </w:r>
    </w:p>
    <w:p>
      <w:pPr>
        <w:pStyle w:val="Normal"/>
        <w:widowControl w:val="false"/>
        <w:ind w:firstLine="708"/>
        <w:rPr>
          <w:rFonts w:eastAsia="Arial Unicode MS" w:cs="Arial"/>
          <w:bCs/>
          <w:kern w:val="2"/>
          <w:szCs w:val="21"/>
          <w:lang w:eastAsia="cs-CZ" w:bidi="hi-IN"/>
        </w:rPr>
      </w:pPr>
      <w:r>
        <w:rPr>
          <w:rFonts w:eastAsia="Arial Unicode MS" w:cs="Arial"/>
          <w:bCs/>
          <w:kern w:val="2"/>
          <w:szCs w:val="21"/>
          <w:lang w:eastAsia="cs-CZ" w:bidi="hi-IN"/>
        </w:rPr>
      </w:r>
    </w:p>
    <w:p>
      <w:pPr>
        <w:pStyle w:val="Normal"/>
        <w:widowControl w:val="false"/>
        <w:ind w:hanging="0"/>
        <w:rPr/>
      </w:pPr>
      <w:r>
        <w:rPr>
          <w:rFonts w:eastAsia="Arial Unicode MS" w:cs="Arial"/>
          <w:bCs/>
          <w:kern w:val="2"/>
          <w:szCs w:val="21"/>
          <w:lang w:eastAsia="cs-CZ" w:bidi="hi-IN"/>
        </w:rPr>
        <w:t>Závěrem lze uvést, že nebylo doloženo splnění všech podmínek uvedeného stanoviska EIA.</w:t>
      </w:r>
    </w:p>
    <w:p>
      <w:pPr>
        <w:pStyle w:val="Normal"/>
        <w:ind w:firstLine="708"/>
        <w:rPr>
          <w:rFonts w:eastAsia="Times New Roman" w:cs="Arial"/>
          <w:b/>
          <w:kern w:val="2"/>
          <w:lang w:eastAsia="cs-CZ"/>
        </w:rPr>
      </w:pPr>
      <w:r>
        <w:rPr>
          <w:rFonts w:eastAsia="Times New Roman" w:cs="Arial"/>
          <w:b/>
          <w:kern w:val="2"/>
          <w:lang w:eastAsia="cs-CZ"/>
        </w:rPr>
      </w:r>
      <w:r>
        <w:br w:type="page"/>
      </w:r>
    </w:p>
    <w:p>
      <w:pPr>
        <w:pStyle w:val="ListParagraph"/>
        <w:widowControl w:val="false"/>
        <w:numPr>
          <w:ilvl w:val="0"/>
          <w:numId w:val="2"/>
        </w:numPr>
        <w:spacing w:before="0" w:after="0"/>
        <w:contextualSpacing/>
        <w:jc w:val="both"/>
        <w:rPr/>
      </w:pPr>
      <w:r>
        <w:rPr>
          <w:rFonts w:eastAsia="Times New Roman" w:cs="Arial" w:ascii="Arial" w:hAnsi="Arial"/>
          <w:b/>
          <w:kern w:val="2"/>
          <w:lang w:eastAsia="cs-CZ"/>
        </w:rPr>
        <w:t xml:space="preserve">Rozpor s § 4 odst. 2 stavebního zákona – absence stanoviska dotčených orgánů, resp. neplatnost </w:t>
      </w:r>
    </w:p>
    <w:p>
      <w:pPr>
        <w:pStyle w:val="Normal"/>
        <w:widowControl w:val="false"/>
        <w:ind w:hanging="0"/>
        <w:rPr/>
      </w:pPr>
      <w:r>
        <w:rPr>
          <w:rFonts w:eastAsia="Times New Roman" w:cs="Arial"/>
          <w:bCs/>
          <w:kern w:val="2"/>
          <w:lang w:eastAsia="cs-CZ"/>
        </w:rPr>
        <w:t>Podle ustanovení § 4 odst. 2 stavebního zákona stavební úřady postupují ve vzájemné součinnosti s dotčenými orgány chránícími veřejné zájmy podle zvláštních právních předpisů. Dotčené orgány vydávají a) pro vydání rozhodnutí podle tohoto zákona závazná stanoviska na základě zvláštních právních předpisů, která nejsou samostatným rozhodnutím ve správním řízení, nestanoví-li tyto zvláštní právní předpisy jinak, b) pro postupy podle tohoto zákona, které nejsou správním řízením, stanoviska, která nejsou samostatným rozhodnutím ve správním řízení, nestanoví-li zvláštní právní předpis jinak; stanoviska jsou závazným podkladem pro politiku územního rozvoje a pro opatření obecné povahy vydávaná podle tohoto zákona. Závazná stanoviska dotčených orgánů pro potřeby správních řízení podle tohoto zákona a stanoviska dotčených orgánů, která jsou závazným podkladem pro potřeby jiných postupů podle tohoto zákona, uplatňují dotčené orgány podle zvláštních právních předpisů a podle tohoto zákona.</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Normal"/>
        <w:widowControl w:val="false"/>
        <w:ind w:hanging="0"/>
        <w:rPr/>
      </w:pPr>
      <w:r>
        <w:rPr>
          <w:rFonts w:eastAsia="Times New Roman" w:cs="Arial"/>
          <w:bCs/>
          <w:kern w:val="2"/>
          <w:lang w:eastAsia="cs-CZ"/>
        </w:rPr>
        <w:t xml:space="preserve">Účastník řízení dále namítá, že správní orgány se vyjadřovaly k dokumentaci z roku 2017, </w:t>
      </w:r>
      <w:r>
        <w:rPr>
          <w:rFonts w:eastAsia="Times New Roman" w:cs="Arial"/>
          <w:bCs/>
          <w:kern w:val="2"/>
          <w:shd w:fill="auto" w:val="clear"/>
          <w:lang w:eastAsia="cs-CZ"/>
        </w:rPr>
        <w:t xml:space="preserve">přestože došlo k doplnění dokumentace. Účastník se domnívá, že na základě takových podkladů nemůže být objektivně zjištěn stav, o němž nejsou důvodné pochybnosti ve smyslu </w:t>
      </w:r>
      <w:r>
        <w:rPr>
          <w:rFonts w:eastAsia="Times New Roman" w:cs="Arial"/>
          <w:bCs/>
          <w:kern w:val="2"/>
          <w:lang w:eastAsia="cs-CZ"/>
        </w:rPr>
        <w:t>§ 3 zákona č. 500/2004 Sb., správní řád, ve znění pozdějších předpisů (dále jen „správní řád“).</w:t>
      </w:r>
    </w:p>
    <w:p>
      <w:pPr>
        <w:pStyle w:val="Normal"/>
        <w:widowControl w:val="false"/>
        <w:ind w:hanging="0"/>
        <w:rPr>
          <w:rFonts w:eastAsia="Times New Roman" w:cs="Arial"/>
          <w:bCs/>
          <w:kern w:val="2"/>
          <w:lang w:eastAsia="cs-CZ"/>
        </w:rPr>
      </w:pPr>
      <w:r>
        <w:rPr>
          <w:rFonts w:eastAsia="Times New Roman" w:cs="Arial"/>
          <w:bCs/>
          <w:kern w:val="2"/>
          <w:lang w:eastAsia="cs-CZ"/>
        </w:rPr>
      </w:r>
    </w:p>
    <w:p>
      <w:pPr>
        <w:pStyle w:val="Normal"/>
        <w:widowControl w:val="false"/>
        <w:ind w:hanging="0"/>
        <w:rPr/>
      </w:pPr>
      <w:r>
        <w:rPr>
          <w:rFonts w:eastAsia="Times New Roman" w:cs="Arial"/>
          <w:bCs/>
          <w:kern w:val="2"/>
          <w:lang w:eastAsia="cs-CZ"/>
        </w:rPr>
        <w:t xml:space="preserve">Dále lze uvést, že mnohá žadatelem doložená závazná stanoviska jsou bez adekvátního věcného odůvodnění ve vztahu k předmětnému záměru, který je nepochybně velmi rozsáhlý a bude mít obrovský dopad na obyvatele nejen dané lokality, ale i celého širšího okolí. Závazná stanoviska musí být adekvátně odůvodněna, aby byla zajištěna jejich přezkoumatelnost. </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Normal"/>
        <w:widowControl w:val="false"/>
        <w:ind w:hanging="0"/>
        <w:rPr/>
      </w:pPr>
      <w:r>
        <w:rPr>
          <w:rFonts w:eastAsia="Times New Roman" w:cs="Arial"/>
          <w:bCs/>
          <w:kern w:val="2"/>
          <w:lang w:eastAsia="cs-CZ"/>
        </w:rPr>
        <w:t>Dle konstantní judikatury správních soudů i na stanoviska, jež jsou podkladem pro vydání navazujících rozhodnutí, dopadá povinnost přiměřeného odůvodnění. Ostatně, i § 149 odst. 1 a 2 správního řádu vyžaduje řádné odůvodnění.</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Normal"/>
        <w:widowControl w:val="false"/>
        <w:ind w:hanging="0"/>
        <w:rPr/>
      </w:pPr>
      <w:r>
        <w:rPr>
          <w:rFonts w:eastAsia="Times New Roman" w:cs="Arial"/>
          <w:bCs/>
          <w:kern w:val="2"/>
          <w:lang w:eastAsia="cs-CZ"/>
        </w:rPr>
        <w:t xml:space="preserve">Účastník řízení odkazuje např. na rozsudek Nejvyššího správního soudu č.j. 9 As 21/2009-150, podle kterého cit: </w:t>
      </w:r>
      <w:r>
        <w:rPr>
          <w:rFonts w:eastAsia="Times New Roman" w:cs="Arial"/>
          <w:bCs/>
          <w:i/>
          <w:iCs/>
          <w:kern w:val="2"/>
          <w:lang w:eastAsia="cs-CZ"/>
        </w:rPr>
        <w:t>„Při vydávání závazného stanoviska podle § 149 správního řádu z roku 2004, jehož obsah je závazný pro výrokovou část rozhodnutí správního orgánu, je třeba na základě § 154 správního řádu přiměřeně použít ustanovení o obsahu, formě a náležitostech rozhodnutí (§ 67 a § 68 správního řádu z roku 2004).“</w:t>
      </w:r>
    </w:p>
    <w:p>
      <w:pPr>
        <w:pStyle w:val="Normal"/>
        <w:widowControl w:val="false"/>
        <w:ind w:firstLine="709"/>
        <w:rPr>
          <w:rFonts w:eastAsia="Times New Roman" w:cs="Arial"/>
          <w:bCs/>
          <w:i/>
          <w:i/>
          <w:iCs/>
          <w:kern w:val="2"/>
          <w:lang w:eastAsia="cs-CZ"/>
        </w:rPr>
      </w:pPr>
      <w:r>
        <w:rPr>
          <w:rFonts w:eastAsia="Times New Roman" w:cs="Arial"/>
          <w:bCs/>
          <w:i/>
          <w:iCs/>
          <w:kern w:val="2"/>
          <w:lang w:eastAsia="cs-CZ"/>
        </w:rPr>
      </w:r>
    </w:p>
    <w:p>
      <w:pPr>
        <w:pStyle w:val="Normal"/>
        <w:widowControl w:val="false"/>
        <w:ind w:hanging="0"/>
        <w:rPr/>
      </w:pPr>
      <w:r>
        <w:rPr>
          <w:rFonts w:eastAsia="Times New Roman" w:cs="Arial"/>
          <w:bCs/>
          <w:kern w:val="2"/>
          <w:lang w:eastAsia="cs-CZ"/>
        </w:rPr>
        <w:t xml:space="preserve">Účastník řízení dále, že závazné stanovisko Hygienické stanice hlavního města Prahy č.j. HSHMP 47545/2018 ze dne 27. 8. 2018 jako podmínku uvádí, že letecký provoz může být zahájen teprve poté, co nabyde platnosti opatření obecné povahy o vyhlášení ochranného hlukového pásma pro dráhový systém letiště s paralelní dráhou. V odůvodnění závazného stanoviska je mj. uvedeno, že nově bude nadlimitním hlukem zasaženo méně objektů a osob oproti původnímu počtu objektů a trvale žijících osob v rámci stávajícího hlukového pásma. Takové tvrzení považuje účastník za mylné a nesprávné, neboť je nesmysl, aby rozšířením a zkapacitněním letiště došlo k zasažení menšího počtu osob a objektů. Účastník řízení proto namítá věcnou nesprávnost a nezákonnost zmíněného závazného stanoviska. </w:t>
      </w:r>
    </w:p>
    <w:p>
      <w:pPr>
        <w:pStyle w:val="Normal"/>
        <w:rPr>
          <w:b/>
          <w:bCs/>
        </w:rPr>
      </w:pPr>
      <w:r>
        <w:rPr>
          <w:b/>
          <w:bCs/>
        </w:rPr>
      </w:r>
      <w:r>
        <w:br w:type="page"/>
      </w:r>
    </w:p>
    <w:p>
      <w:pPr>
        <w:pStyle w:val="ListParagraph"/>
        <w:widowControl w:val="false"/>
        <w:numPr>
          <w:ilvl w:val="0"/>
          <w:numId w:val="2"/>
        </w:numPr>
        <w:spacing w:before="0" w:after="0"/>
        <w:contextualSpacing/>
        <w:jc w:val="both"/>
        <w:rPr/>
      </w:pPr>
      <w:r>
        <w:rPr>
          <w:rFonts w:eastAsia="Times New Roman" w:cs="Arial" w:ascii="Arial" w:hAnsi="Arial"/>
          <w:b/>
          <w:kern w:val="2"/>
          <w:lang w:eastAsia="cs-CZ"/>
        </w:rPr>
        <w:t>Propadlá stanoviska správců sítí a zastaralá závazná stanoviska</w:t>
      </w:r>
    </w:p>
    <w:p>
      <w:pPr>
        <w:pStyle w:val="Normal"/>
        <w:ind w:hanging="0"/>
        <w:rPr/>
      </w:pPr>
      <w:r>
        <w:rPr>
          <w:rFonts w:cs="Arial"/>
          <w:kern w:val="2"/>
          <w:lang w:eastAsia="cs-CZ"/>
        </w:rPr>
        <w:t>Účastník řízení namítá, že</w:t>
      </w:r>
      <w:r>
        <w:rPr>
          <w:rFonts w:cs="Arial"/>
          <w:b/>
          <w:bCs/>
          <w:kern w:val="2"/>
          <w:lang w:eastAsia="cs-CZ"/>
        </w:rPr>
        <w:t xml:space="preserve"> řada stanovisek správců sítí předložených žadatelem již pozbyla platnosti a nelze je tedy v daném řízení použít.</w:t>
      </w:r>
      <w:r>
        <w:rPr>
          <w:rFonts w:cs="Arial"/>
          <w:kern w:val="2"/>
          <w:lang w:eastAsia="cs-CZ"/>
        </w:rPr>
        <w:t xml:space="preserve"> Některá stanoviska jsou s omezenou platností, tato platnost již uplynula nebo v nejbližší době jim uplyne jejich platnost. </w:t>
      </w:r>
    </w:p>
    <w:p>
      <w:pPr>
        <w:pStyle w:val="Normal"/>
        <w:ind w:firstLine="709"/>
        <w:rPr>
          <w:rFonts w:cs="Arial"/>
          <w:kern w:val="2"/>
          <w:lang w:eastAsia="cs-CZ"/>
        </w:rPr>
      </w:pPr>
      <w:r>
        <w:rPr>
          <w:rFonts w:cs="Arial"/>
          <w:kern w:val="2"/>
          <w:lang w:eastAsia="cs-CZ"/>
        </w:rPr>
      </w:r>
    </w:p>
    <w:p>
      <w:pPr>
        <w:pStyle w:val="Normal"/>
        <w:ind w:hanging="0"/>
        <w:rPr/>
      </w:pPr>
      <w:r>
        <w:rPr>
          <w:rFonts w:cs="Arial"/>
          <w:b/>
          <w:bCs/>
          <w:kern w:val="2"/>
          <w:lang w:eastAsia="cs-CZ"/>
        </w:rPr>
        <w:t>Účastník tedy namítá nedodržení požadavku § 86 odst. 2 písm. c) stavebního zákona.</w:t>
      </w:r>
      <w:r>
        <w:rPr>
          <w:rFonts w:cs="Arial"/>
          <w:kern w:val="2"/>
          <w:lang w:eastAsia="cs-CZ"/>
        </w:rPr>
        <w:t xml:space="preserve"> K této námitce musí stavební úřad přihlížet z úřední povinnosti.</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ListParagraph"/>
        <w:widowControl w:val="false"/>
        <w:numPr>
          <w:ilvl w:val="0"/>
          <w:numId w:val="2"/>
        </w:numPr>
        <w:spacing w:before="0" w:after="0"/>
        <w:contextualSpacing/>
        <w:jc w:val="both"/>
        <w:rPr/>
      </w:pPr>
      <w:r>
        <w:rPr>
          <w:rFonts w:eastAsia="Times New Roman" w:cs="Arial" w:ascii="Arial" w:hAnsi="Arial"/>
          <w:b/>
          <w:kern w:val="2"/>
          <w:lang w:eastAsia="cs-CZ"/>
        </w:rPr>
        <w:t>Překračování hygienických limitů hluku</w:t>
      </w:r>
    </w:p>
    <w:p>
      <w:pPr>
        <w:pStyle w:val="ListParagraph"/>
        <w:widowControl w:val="false"/>
        <w:spacing w:lineRule="auto" w:line="240" w:before="0" w:after="0"/>
        <w:ind w:left="0" w:hanging="0"/>
        <w:contextualSpacing/>
        <w:jc w:val="both"/>
        <w:rPr/>
      </w:pPr>
      <w:r>
        <w:rPr>
          <w:rFonts w:eastAsia="Times New Roman" w:cs="Arial" w:ascii="Arial" w:hAnsi="Arial"/>
          <w:bCs/>
          <w:kern w:val="2"/>
          <w:lang w:eastAsia="cs-CZ"/>
        </w:rPr>
        <w:t>Účastník řízení dále namítá, že nelze umístit záměr, který by přinesl, resp. rapidně zvýšil zátěž v území, a to z hlediska hluku a imisí, kdy dojde k překročení hygienických limitů. Navíc, jak je uvedeno již výše, dotčené území je již v současnosti nadlimitně zatíženo hlukem a imisemi.</w:t>
      </w:r>
    </w:p>
    <w:p>
      <w:pPr>
        <w:pStyle w:val="ListParagraph"/>
        <w:widowControl w:val="false"/>
        <w:spacing w:lineRule="auto" w:line="240" w:before="0" w:after="0"/>
        <w:ind w:left="0" w:firstLine="709"/>
        <w:contextualSpacing/>
        <w:jc w:val="both"/>
        <w:rPr>
          <w:rFonts w:ascii="Arial" w:hAnsi="Arial" w:eastAsia="Times New Roman" w:cs="Arial"/>
          <w:bCs/>
          <w:kern w:val="2"/>
          <w:lang w:eastAsia="cs-CZ"/>
        </w:rPr>
      </w:pPr>
      <w:r>
        <w:rPr>
          <w:rFonts w:eastAsia="Times New Roman" w:cs="Arial" w:ascii="Arial" w:hAnsi="Arial"/>
          <w:bCs/>
          <w:kern w:val="2"/>
          <w:lang w:eastAsia="cs-CZ"/>
        </w:rPr>
      </w:r>
    </w:p>
    <w:p>
      <w:pPr>
        <w:pStyle w:val="ListParagraph"/>
        <w:widowControl w:val="false"/>
        <w:spacing w:lineRule="auto" w:line="240" w:before="0" w:after="0"/>
        <w:ind w:left="0" w:hanging="0"/>
        <w:contextualSpacing/>
        <w:jc w:val="both"/>
        <w:rPr/>
      </w:pPr>
      <w:r>
        <w:rPr>
          <w:rFonts w:eastAsia="Times New Roman" w:cs="Arial" w:ascii="Arial" w:hAnsi="Arial"/>
          <w:bCs/>
          <w:kern w:val="2"/>
          <w:lang w:eastAsia="cs-CZ"/>
        </w:rPr>
        <w:t xml:space="preserve">V této souvislosti účastník upozorňuje na rozsudek NSS č.j. 1 Ao 7/2011-526 ze dne 2. 6. 2012. </w:t>
      </w:r>
    </w:p>
    <w:p>
      <w:pPr>
        <w:pStyle w:val="Normal"/>
        <w:widowControl w:val="false"/>
        <w:ind w:firstLine="709"/>
        <w:rPr>
          <w:rFonts w:eastAsia="Times New Roman" w:cs="Arial"/>
          <w:bCs/>
          <w:kern w:val="2"/>
          <w:lang w:eastAsia="cs-CZ"/>
        </w:rPr>
      </w:pPr>
      <w:r>
        <w:rPr>
          <w:rFonts w:eastAsia="Times New Roman" w:cs="Arial"/>
          <w:bCs/>
          <w:kern w:val="2"/>
          <w:lang w:eastAsia="cs-CZ"/>
        </w:rPr>
      </w:r>
    </w:p>
    <w:p>
      <w:pPr>
        <w:pStyle w:val="Normal"/>
        <w:widowControl w:val="false"/>
        <w:spacing w:before="0" w:after="0"/>
        <w:ind w:left="357" w:firstLine="352"/>
        <w:contextualSpacing/>
        <w:jc w:val="center"/>
        <w:rPr/>
      </w:pPr>
      <w:r>
        <w:rPr>
          <w:rFonts w:eastAsia="Times New Roman" w:cs="Arial"/>
          <w:b/>
          <w:kern w:val="2"/>
          <w:lang w:eastAsia="cs-CZ"/>
        </w:rPr>
        <w:t xml:space="preserve">V. </w:t>
      </w:r>
    </w:p>
    <w:p>
      <w:pPr>
        <w:pStyle w:val="Normal"/>
        <w:widowControl w:val="false"/>
        <w:spacing w:before="0" w:after="0"/>
        <w:ind w:left="357" w:firstLine="352"/>
        <w:contextualSpacing/>
        <w:jc w:val="center"/>
        <w:rPr/>
      </w:pPr>
      <w:r>
        <w:rPr>
          <w:rFonts w:eastAsia="Times New Roman" w:cs="Arial"/>
          <w:b/>
          <w:kern w:val="2"/>
          <w:lang w:eastAsia="cs-CZ"/>
        </w:rPr>
        <w:t>Závěr</w:t>
      </w:r>
    </w:p>
    <w:p>
      <w:pPr>
        <w:pStyle w:val="Normal"/>
        <w:widowControl w:val="false"/>
        <w:spacing w:before="0" w:after="0"/>
        <w:ind w:left="357" w:firstLine="352"/>
        <w:contextualSpacing/>
        <w:rPr>
          <w:rFonts w:eastAsia="Times New Roman" w:cs="Arial"/>
          <w:bCs/>
          <w:kern w:val="2"/>
          <w:lang w:eastAsia="cs-CZ"/>
        </w:rPr>
      </w:pPr>
      <w:r>
        <w:rPr>
          <w:rFonts w:eastAsia="Times New Roman" w:cs="Arial"/>
          <w:bCs/>
          <w:kern w:val="2"/>
          <w:lang w:eastAsia="cs-CZ"/>
        </w:rPr>
      </w:r>
    </w:p>
    <w:p>
      <w:pPr>
        <w:pStyle w:val="Normal"/>
        <w:ind w:hanging="0"/>
        <w:rPr/>
      </w:pPr>
      <w:r>
        <w:rPr>
          <w:rFonts w:eastAsia="Times New Roman" w:cs="Arial"/>
          <w:b/>
          <w:kern w:val="2"/>
          <w:lang w:eastAsia="cs-CZ"/>
        </w:rPr>
        <w:t>Se shora uvedených důvodů účastník řízení navrhuje, aby stavební úřad řízení o žádosti o vydání rozhodnutí o umístění stavby</w:t>
      </w:r>
      <w:r>
        <w:rPr>
          <w:rFonts w:eastAsia="Times New Roman" w:cs="Arial"/>
          <w:b/>
          <w:bCs/>
          <w:kern w:val="2"/>
          <w:lang w:eastAsia="cs-CZ"/>
        </w:rPr>
        <w:t xml:space="preserve"> </w:t>
      </w:r>
      <w:r>
        <w:rPr>
          <w:rFonts w:cs="Times New Roman"/>
          <w:b/>
          <w:bCs/>
          <w:szCs w:val="24"/>
        </w:rPr>
        <w:t xml:space="preserve">„paralelní dráha RWY 06R/24L o délce 3 100 m Letiště Praha, Ruzyně“ na pozemcích v k.ú. Dobrovíz, Hostivice, Litovice, Přední Kopanina a Ruzyně </w:t>
      </w:r>
      <w:r>
        <w:rPr>
          <w:rFonts w:cs="Arial"/>
          <w:b/>
        </w:rPr>
        <w:t>zamítl.</w:t>
      </w:r>
    </w:p>
    <w:p>
      <w:pPr>
        <w:pStyle w:val="Normal"/>
        <w:widowControl w:val="false"/>
        <w:spacing w:before="0" w:after="0"/>
        <w:ind w:left="360" w:firstLine="357"/>
        <w:contextualSpacing/>
        <w:rPr>
          <w:rFonts w:eastAsia="Times New Roman" w:cs="Arial"/>
          <w:b/>
          <w:kern w:val="2"/>
          <w:lang w:eastAsia="cs-CZ"/>
        </w:rPr>
      </w:pPr>
      <w:r>
        <w:rPr>
          <w:rFonts w:eastAsia="Times New Roman" w:cs="Arial"/>
          <w:b/>
          <w:kern w:val="2"/>
          <w:lang w:eastAsia="cs-CZ"/>
        </w:rPr>
      </w:r>
    </w:p>
    <w:p>
      <w:pPr>
        <w:pStyle w:val="Normal"/>
        <w:widowControl w:val="false"/>
        <w:spacing w:before="0" w:after="0"/>
        <w:ind w:left="360" w:firstLine="357"/>
        <w:contextualSpacing/>
        <w:rPr>
          <w:rFonts w:eastAsia="Times New Roman" w:cs="Arial"/>
          <w:b/>
          <w:bCs/>
          <w:kern w:val="2"/>
          <w:lang w:eastAsia="cs-CZ" w:bidi="hi-IN"/>
        </w:rPr>
      </w:pPr>
      <w:r>
        <w:rPr>
          <w:rFonts w:eastAsia="Times New Roman" w:cs="Arial"/>
          <w:b/>
          <w:bCs/>
          <w:kern w:val="2"/>
          <w:lang w:eastAsia="cs-CZ" w:bidi="hi-IN"/>
        </w:rPr>
      </w:r>
    </w:p>
    <w:p>
      <w:pPr>
        <w:pStyle w:val="Normal"/>
        <w:rPr>
          <w:rFonts w:cs="Arial"/>
          <w:kern w:val="2"/>
          <w:szCs w:val="21"/>
          <w:lang w:eastAsia="cs-CZ"/>
        </w:rPr>
      </w:pPr>
      <w:r>
        <w:rPr>
          <w:rFonts w:cs="Arial"/>
          <w:kern w:val="2"/>
          <w:szCs w:val="21"/>
          <w:lang w:eastAsia="cs-CZ"/>
        </w:rPr>
      </w:r>
    </w:p>
    <w:p>
      <w:pPr>
        <w:pStyle w:val="Normal"/>
        <w:rPr>
          <w:rFonts w:cs="Arial"/>
          <w:kern w:val="2"/>
          <w:szCs w:val="21"/>
          <w:lang w:eastAsia="cs-CZ"/>
        </w:rPr>
      </w:pPr>
      <w:r>
        <w:rPr>
          <w:rFonts w:cs="Arial"/>
          <w:kern w:val="2"/>
          <w:szCs w:val="21"/>
          <w:lang w:eastAsia="cs-CZ"/>
        </w:rPr>
      </w:r>
    </w:p>
    <w:p>
      <w:pPr>
        <w:pStyle w:val="Normal"/>
        <w:rPr>
          <w:rFonts w:cs="Arial"/>
          <w:kern w:val="2"/>
          <w:szCs w:val="21"/>
          <w:lang w:eastAsia="cs-CZ"/>
        </w:rPr>
      </w:pPr>
      <w:r>
        <w:rPr>
          <w:rFonts w:cs="Arial"/>
          <w:kern w:val="2"/>
          <w:szCs w:val="21"/>
          <w:lang w:eastAsia="cs-CZ"/>
        </w:rPr>
      </w:r>
    </w:p>
    <w:p>
      <w:pPr>
        <w:pStyle w:val="Normal"/>
        <w:rPr>
          <w:rFonts w:cs="Arial"/>
          <w:kern w:val="2"/>
          <w:szCs w:val="21"/>
          <w:lang w:eastAsia="cs-CZ"/>
        </w:rPr>
      </w:pPr>
      <w:r>
        <w:rPr>
          <w:rFonts w:cs="Arial"/>
          <w:kern w:val="2"/>
          <w:szCs w:val="21"/>
          <w:lang w:eastAsia="cs-CZ"/>
        </w:rPr>
      </w:r>
    </w:p>
    <w:p>
      <w:pPr>
        <w:pStyle w:val="Normal"/>
        <w:rPr>
          <w:rFonts w:cs="Arial"/>
          <w:kern w:val="2"/>
          <w:szCs w:val="21"/>
          <w:lang w:eastAsia="cs-CZ"/>
        </w:rPr>
      </w:pPr>
      <w:r>
        <w:rPr>
          <w:rFonts w:cs="Arial"/>
          <w:kern w:val="2"/>
          <w:szCs w:val="21"/>
          <w:lang w:eastAsia="cs-CZ"/>
        </w:rPr>
      </w:r>
    </w:p>
    <w:p>
      <w:pPr>
        <w:pStyle w:val="Normal"/>
        <w:rPr>
          <w:rFonts w:cs="Arial"/>
          <w:kern w:val="2"/>
          <w:szCs w:val="21"/>
          <w:lang w:eastAsia="cs-CZ"/>
        </w:rPr>
      </w:pPr>
      <w:r>
        <w:rPr>
          <w:rFonts w:cs="Arial"/>
          <w:kern w:val="2"/>
          <w:szCs w:val="21"/>
          <w:lang w:eastAsia="cs-CZ"/>
        </w:rPr>
      </w:r>
    </w:p>
    <w:p>
      <w:pPr>
        <w:pStyle w:val="Normal"/>
        <w:pBdr>
          <w:bottom w:val="single" w:sz="12" w:space="1" w:color="000000"/>
        </w:pBdr>
        <w:ind w:left="5103" w:firstLine="357"/>
        <w:rPr>
          <w:rFonts w:cs="Arial"/>
          <w:kern w:val="2"/>
          <w:szCs w:val="21"/>
          <w:lang w:eastAsia="cs-CZ"/>
        </w:rPr>
      </w:pPr>
      <w:r>
        <w:rPr>
          <w:rFonts w:cs="Arial"/>
          <w:kern w:val="2"/>
          <w:szCs w:val="21"/>
          <w:lang w:eastAsia="cs-CZ"/>
        </w:rPr>
      </w:r>
    </w:p>
    <w:p>
      <w:pPr>
        <w:pStyle w:val="Normal"/>
        <w:ind w:left="6521" w:firstLine="357"/>
        <w:rPr/>
      </w:pPr>
      <w:r>
        <w:rPr>
          <w:rFonts w:cs="Arial"/>
          <w:kern w:val="2"/>
          <w:szCs w:val="21"/>
          <w:lang w:eastAsia="cs-CZ"/>
        </w:rPr>
        <w:t>podpis</w:t>
      </w:r>
    </w:p>
    <w:p>
      <w:pPr>
        <w:pStyle w:val="Normal"/>
        <w:rPr>
          <w:rFonts w:cs="Arial"/>
          <w:kern w:val="2"/>
          <w:szCs w:val="21"/>
          <w:lang w:eastAsia="cs-CZ"/>
        </w:rPr>
      </w:pPr>
      <w:r>
        <w:rPr>
          <w:rFonts w:cs="Arial"/>
          <w:kern w:val="2"/>
          <w:szCs w:val="21"/>
          <w:lang w:eastAsia="cs-CZ"/>
        </w:rPr>
      </w:r>
    </w:p>
    <w:p>
      <w:pPr>
        <w:pStyle w:val="Normal"/>
        <w:rPr>
          <w:rFonts w:cs="Arial"/>
          <w:i/>
          <w:i/>
          <w:iCs/>
          <w:kern w:val="2"/>
          <w:szCs w:val="21"/>
          <w:lang w:eastAsia="cs-CZ"/>
        </w:rPr>
      </w:pPr>
      <w:r>
        <w:rPr/>
      </w:r>
    </w:p>
    <w:sectPr>
      <w:footerReference w:type="default" r:id="rId2"/>
      <w:type w:val="nextPage"/>
      <w:pgSz w:w="11906" w:h="16838"/>
      <w:pgMar w:left="1418" w:right="1418" w:gutter="0" w:header="0" w:top="1985" w:footer="454"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swiss"/>
    <w:pitch w:val="default"/>
  </w:font>
  <w:font w:name="Calibri Light">
    <w:charset w:val="01"/>
    <w:family w:val="swiss"/>
    <w:pitch w:val="default"/>
  </w:font>
  <w:font w:name="Garamond">
    <w:charset w:val="01"/>
    <w:family w:val="swiss"/>
    <w:pitch w:val="default"/>
  </w:font>
  <w:font w:name="Times New Roman">
    <w:charset w:val="01"/>
    <w:family w:val="swiss"/>
    <w:pitch w:val="default"/>
  </w:font>
  <w:font w:name="Segoe UI">
    <w:charset w:val="01"/>
    <w:family w:val="swiss"/>
    <w:pitch w:val="default"/>
  </w:font>
  <w:font w:name="OpenSymbol">
    <w:altName w:val="Arial Unicode MS"/>
    <w:charset w:val="02"/>
    <w:family w:val="auto"/>
    <w:pitch w:val="default"/>
  </w:font>
  <w:font w:name="Calibri">
    <w:charset w:val="01"/>
    <w:family w:val="swiss"/>
    <w:pitch w:val="default"/>
  </w:font>
  <w:font w:name="Arial">
    <w:charset w:val="01"/>
    <w:family w:val="swiss"/>
    <w:pitch w:val="variable"/>
  </w:font>
  <w:font w:name="0">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dal"/>
      <w:spacing w:before="0" w:after="240"/>
      <w:contextualSpacing/>
      <w:rPr/>
    </w:pPr>
    <w:r>
      <w:rPr/>
      <w:fldChar w:fldCharType="begin"/>
    </w:r>
    <w:r>
      <w:rPr/>
      <w:instrText xml:space="preserve"> PAGE </w:instrText>
    </w:r>
    <w:r>
      <w:rPr/>
      <w:fldChar w:fldCharType="separate"/>
    </w:r>
    <w:r>
      <w:rPr/>
      <w:t>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
    <w:lvl w:ilvl="0">
      <w:start w:val="1"/>
      <w:numFmt w:val="decimal"/>
      <w:lvlText w:val="%1."/>
      <w:lvlJc w:val="left"/>
      <w:pPr>
        <w:tabs>
          <w:tab w:val="num" w:pos="0"/>
        </w:tabs>
        <w:ind w:left="1069" w:hanging="360"/>
      </w:pPr>
      <w:rPr>
        <w:b/>
        <w:bCs w:val="false"/>
        <w:rFonts w:ascii="Arial" w:hAnsi="Arial" w:cs="Arial"/>
      </w:rPr>
    </w:lvl>
    <w:lvl w:ilvl="1">
      <w:start w:val="1"/>
      <w:numFmt w:val="decimal"/>
      <w:lvlText w:val="%1.%2."/>
      <w:lvlJc w:val="left"/>
      <w:pPr>
        <w:tabs>
          <w:tab w:val="num" w:pos="0"/>
        </w:tabs>
        <w:ind w:left="1146" w:hanging="720"/>
      </w:pPr>
      <w:rPr>
        <w:b/>
        <w:bCs w:val="false"/>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abstractNum w:abstractNumId="3">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kern w:val="2"/>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firstLine="357"/>
      <w:jc w:val="both"/>
    </w:pPr>
    <w:rPr>
      <w:rFonts w:eastAsia="Calibri" w:cs="Tahoma" w:ascii="Arial" w:hAnsi="Arial"/>
      <w:color w:val="auto"/>
      <w:kern w:val="0"/>
      <w:sz w:val="22"/>
      <w:szCs w:val="22"/>
      <w:lang w:eastAsia="en-US" w:bidi="ar-SA" w:val="cs-CZ"/>
    </w:rPr>
  </w:style>
  <w:style w:type="paragraph" w:styleId="Nadpis1">
    <w:name w:val="Heading 1"/>
    <w:basedOn w:val="Normal"/>
    <w:next w:val="Normal"/>
    <w:uiPriority w:val="9"/>
    <w:qFormat/>
    <w:pPr>
      <w:keepNext w:val="true"/>
      <w:keepLines/>
      <w:spacing w:before="240" w:after="0"/>
      <w:outlineLvl w:val="0"/>
    </w:pPr>
    <w:rPr>
      <w:rFonts w:ascii="Calibri Light" w:hAnsi="Calibri Light"/>
      <w:color w:val="2E74B5"/>
      <w:sz w:val="32"/>
      <w:szCs w:val="32"/>
    </w:rPr>
  </w:style>
  <w:style w:type="paragraph" w:styleId="Nadpis2">
    <w:name w:val="Heading 2"/>
    <w:basedOn w:val="Normal"/>
    <w:next w:val="Normal"/>
    <w:uiPriority w:val="9"/>
    <w:semiHidden/>
    <w:unhideWhenUsed/>
    <w:qFormat/>
    <w:pPr>
      <w:keepNext w:val="true"/>
      <w:keepLines/>
      <w:spacing w:before="40" w:after="0"/>
      <w:outlineLvl w:val="1"/>
    </w:pPr>
    <w:rPr>
      <w:rFonts w:ascii="Calibri Light" w:hAnsi="Calibri Light"/>
      <w:color w:val="2E74B5"/>
      <w:sz w:val="26"/>
      <w:szCs w:val="26"/>
    </w:rPr>
  </w:style>
  <w:style w:type="paragraph" w:styleId="Nadpis3">
    <w:name w:val="Heading 3"/>
    <w:basedOn w:val="Normal"/>
    <w:next w:val="Normal"/>
    <w:uiPriority w:val="9"/>
    <w:semiHidden/>
    <w:unhideWhenUsed/>
    <w:qFormat/>
    <w:pPr>
      <w:keepNext w:val="true"/>
      <w:jc w:val="right"/>
      <w:outlineLvl w:val="2"/>
    </w:pPr>
    <w:rPr>
      <w:rFonts w:eastAsia="Times New Roman" w:cs="Arial"/>
      <w:sz w:val="24"/>
      <w:szCs w:val="20"/>
      <w:lang w:eastAsia="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qFormat/>
    <w:rPr>
      <w:rFonts w:eastAsia="Times New Roman" w:cs="Times New Roman"/>
      <w:color w:val="000000"/>
      <w:sz w:val="16"/>
      <w:szCs w:val="24"/>
    </w:rPr>
  </w:style>
  <w:style w:type="character" w:styleId="ZpatChar" w:customStyle="1">
    <w:name w:val="Zápatí Char"/>
    <w:basedOn w:val="DefaultParagraphFont"/>
    <w:qFormat/>
    <w:rPr>
      <w:rFonts w:ascii="Garamond" w:hAnsi="Garamond" w:eastAsia="Times New Roman" w:cs="Times New Roman"/>
      <w:color w:val="000000"/>
      <w:sz w:val="16"/>
      <w:szCs w:val="24"/>
    </w:rPr>
  </w:style>
  <w:style w:type="character" w:styleId="DatumChar" w:customStyle="1">
    <w:name w:val="Datum Char"/>
    <w:basedOn w:val="DefaultParagraphFont"/>
    <w:qFormat/>
    <w:rPr>
      <w:rFonts w:eastAsia="Times New Roman" w:cs="Times New Roman"/>
      <w:color w:val="000000"/>
      <w:sz w:val="24"/>
      <w:szCs w:val="24"/>
    </w:rPr>
  </w:style>
  <w:style w:type="character" w:styleId="OslovenChar" w:customStyle="1">
    <w:name w:val="Oslovení Char"/>
    <w:basedOn w:val="DefaultParagraphFont"/>
    <w:qFormat/>
    <w:rPr>
      <w:rFonts w:eastAsia="Times New Roman" w:cs="Times New Roman"/>
      <w:color w:val="000000"/>
      <w:sz w:val="24"/>
      <w:szCs w:val="24"/>
    </w:rPr>
  </w:style>
  <w:style w:type="character" w:styleId="ZkladntextChar" w:customStyle="1">
    <w:name w:val="Základní text Char"/>
    <w:basedOn w:val="DefaultParagraphFont"/>
    <w:qFormat/>
    <w:rPr>
      <w:rFonts w:eastAsia="Times New Roman" w:cs="Times New Roman"/>
      <w:color w:val="000000"/>
      <w:sz w:val="24"/>
      <w:szCs w:val="24"/>
    </w:rPr>
  </w:style>
  <w:style w:type="character" w:styleId="Zkladntext-prvnodsazenChar" w:customStyle="1">
    <w:name w:val="Základní text - první odsazený Char"/>
    <w:basedOn w:val="ZkladntextChar"/>
    <w:qFormat/>
    <w:rPr>
      <w:rFonts w:eastAsia="Times New Roman" w:cs="Times New Roman"/>
      <w:color w:val="000000"/>
      <w:sz w:val="24"/>
      <w:szCs w:val="24"/>
    </w:rPr>
  </w:style>
  <w:style w:type="character" w:styleId="Internetovodkaz">
    <w:name w:val="Hyperlink"/>
    <w:basedOn w:val="DefaultParagraphFont"/>
    <w:rPr>
      <w:rFonts w:ascii="Times New Roman" w:hAnsi="Times New Roman" w:eastAsia="Times New Roman" w:cs="Times New Roman"/>
      <w:color w:val="0563C1"/>
      <w:sz w:val="24"/>
      <w:szCs w:val="24"/>
      <w:u w:val="single"/>
    </w:rPr>
  </w:style>
  <w:style w:type="character" w:styleId="ZvraznnzpatChar" w:customStyle="1">
    <w:name w:val="Zvýraznění zápatí Char"/>
    <w:basedOn w:val="ZpatChar"/>
    <w:qFormat/>
    <w:rPr>
      <w:rFonts w:ascii="Garamond" w:hAnsi="Garamond" w:eastAsia="Times New Roman" w:cs="Times New Roman"/>
      <w:color w:val="997E46"/>
      <w:sz w:val="16"/>
      <w:szCs w:val="24"/>
    </w:rPr>
  </w:style>
  <w:style w:type="character" w:styleId="Pagenumber">
    <w:name w:val="page number"/>
    <w:basedOn w:val="DefaultParagraphFont"/>
    <w:qFormat/>
    <w:rPr>
      <w:rFonts w:ascii="Times New Roman" w:hAnsi="Times New Roman" w:eastAsia="Times New Roman" w:cs="Times New Roman"/>
      <w:color w:val="000000"/>
      <w:sz w:val="24"/>
      <w:szCs w:val="24"/>
    </w:rPr>
  </w:style>
  <w:style w:type="character" w:styleId="ZvrChar" w:customStyle="1">
    <w:name w:val="Závěr Char"/>
    <w:basedOn w:val="DefaultParagraphFont"/>
    <w:qFormat/>
    <w:rPr>
      <w:rFonts w:eastAsia="Times New Roman" w:cs="Times New Roman"/>
      <w:color w:val="000000"/>
      <w:sz w:val="24"/>
      <w:szCs w:val="24"/>
    </w:rPr>
  </w:style>
  <w:style w:type="character" w:styleId="PodpisChar" w:customStyle="1">
    <w:name w:val="Podpis Char"/>
    <w:basedOn w:val="DefaultParagraphFont"/>
    <w:qFormat/>
    <w:rPr>
      <w:rFonts w:eastAsia="Times New Roman" w:cs="Times New Roman"/>
      <w:color w:val="000000"/>
      <w:sz w:val="24"/>
      <w:szCs w:val="24"/>
    </w:rPr>
  </w:style>
  <w:style w:type="character" w:styleId="TextbublinyChar" w:customStyle="1">
    <w:name w:val="Text bubliny Char"/>
    <w:basedOn w:val="DefaultParagraphFont"/>
    <w:qFormat/>
    <w:rPr>
      <w:rFonts w:ascii="Segoe UI" w:hAnsi="Segoe UI" w:eastAsia="Times New Roman" w:cs="Segoe UI"/>
      <w:color w:val="000000"/>
      <w:sz w:val="18"/>
      <w:szCs w:val="18"/>
    </w:rPr>
  </w:style>
  <w:style w:type="character" w:styleId="ZkladntextodsazenChar" w:customStyle="1">
    <w:name w:val="Základní text odsazený Char"/>
    <w:basedOn w:val="DefaultParagraphFont"/>
    <w:qFormat/>
    <w:rPr>
      <w:rFonts w:eastAsia="Times New Roman" w:cs="Times New Roman"/>
      <w:color w:val="000000"/>
      <w:sz w:val="24"/>
      <w:szCs w:val="24"/>
    </w:rPr>
  </w:style>
  <w:style w:type="character" w:styleId="Strong">
    <w:name w:val="Strong"/>
    <w:basedOn w:val="DefaultParagraphFont"/>
    <w:qFormat/>
    <w:rPr>
      <w:rFonts w:ascii="Times New Roman" w:hAnsi="Times New Roman" w:eastAsia="Times New Roman" w:cs="Times New Roman"/>
      <w:b/>
      <w:bCs/>
      <w:color w:val="000000"/>
      <w:sz w:val="24"/>
      <w:szCs w:val="24"/>
    </w:rPr>
  </w:style>
  <w:style w:type="character" w:styleId="Nadpis3Char" w:customStyle="1">
    <w:name w:val="Nadpis 3 Char"/>
    <w:basedOn w:val="DefaultParagraphFont"/>
    <w:qFormat/>
    <w:rPr>
      <w:rFonts w:eastAsia="Times New Roman" w:cs="Arial"/>
      <w:color w:val="000000"/>
      <w:sz w:val="24"/>
      <w:szCs w:val="20"/>
      <w:lang w:eastAsia="ar-SA"/>
    </w:rPr>
  </w:style>
  <w:style w:type="character" w:styleId="Apple-converted-space" w:customStyle="1">
    <w:name w:val="apple-converted-space"/>
    <w:basedOn w:val="DefaultParagraphFont"/>
    <w:qFormat/>
    <w:rPr>
      <w:rFonts w:ascii="Times New Roman" w:hAnsi="Times New Roman" w:eastAsia="Times New Roman" w:cs="Times New Roman"/>
      <w:color w:val="000000"/>
      <w:sz w:val="24"/>
      <w:szCs w:val="24"/>
    </w:rPr>
  </w:style>
  <w:style w:type="character" w:styleId="Annotationreference">
    <w:name w:val="annotation reference"/>
    <w:basedOn w:val="DefaultParagraphFont"/>
    <w:qFormat/>
    <w:rPr>
      <w:rFonts w:ascii="Times New Roman" w:hAnsi="Times New Roman" w:eastAsia="Times New Roman" w:cs="Times New Roman"/>
      <w:color w:val="000000"/>
      <w:sz w:val="16"/>
      <w:szCs w:val="16"/>
    </w:rPr>
  </w:style>
  <w:style w:type="character" w:styleId="TextkomenteChar" w:customStyle="1">
    <w:name w:val="Text komentáře Char"/>
    <w:basedOn w:val="DefaultParagraphFont"/>
    <w:qFormat/>
    <w:rPr>
      <w:rFonts w:cs="Times New Roman"/>
      <w:color w:val="000000"/>
      <w:sz w:val="20"/>
      <w:szCs w:val="20"/>
    </w:rPr>
  </w:style>
  <w:style w:type="character" w:styleId="Nadpis2Char" w:customStyle="1">
    <w:name w:val="Nadpis 2 Char"/>
    <w:basedOn w:val="DefaultParagraphFont"/>
    <w:qFormat/>
    <w:rPr>
      <w:rFonts w:ascii="Calibri Light" w:hAnsi="Calibri Light"/>
      <w:color w:val="2E74B5"/>
      <w:sz w:val="26"/>
      <w:szCs w:val="26"/>
    </w:rPr>
  </w:style>
  <w:style w:type="character" w:styleId="Nadpis1Char" w:customStyle="1">
    <w:name w:val="Nadpis 1 Char"/>
    <w:basedOn w:val="DefaultParagraphFont"/>
    <w:qFormat/>
    <w:rPr>
      <w:rFonts w:ascii="Calibri Light" w:hAnsi="Calibri Light"/>
      <w:color w:val="2E74B5"/>
      <w:sz w:val="32"/>
      <w:szCs w:val="32"/>
    </w:rPr>
  </w:style>
  <w:style w:type="character" w:styleId="Zkladntext3Char" w:customStyle="1">
    <w:name w:val="Základní text 3 Char"/>
    <w:basedOn w:val="DefaultParagraphFont"/>
    <w:qFormat/>
    <w:rPr>
      <w:rFonts w:eastAsia="Times New Roman" w:cs="Times New Roman"/>
      <w:color w:val="000000"/>
      <w:sz w:val="16"/>
      <w:szCs w:val="16"/>
    </w:rPr>
  </w:style>
  <w:style w:type="character" w:styleId="HTMLVariable">
    <w:name w:val="HTML Variable"/>
    <w:basedOn w:val="DefaultParagraphFont"/>
    <w:qFormat/>
    <w:rPr>
      <w:rFonts w:ascii="Times New Roman" w:hAnsi="Times New Roman" w:eastAsia="Times New Roman" w:cs="Times New Roman"/>
      <w:i/>
      <w:iCs/>
      <w:color w:val="000000"/>
      <w:sz w:val="24"/>
      <w:szCs w:val="24"/>
    </w:rPr>
  </w:style>
  <w:style w:type="character" w:styleId="PedmtkomenteChar" w:customStyle="1">
    <w:name w:val="Předmět komentáře Char"/>
    <w:basedOn w:val="TextkomenteChar"/>
    <w:qFormat/>
    <w:rPr>
      <w:rFonts w:cs="Times New Roman"/>
      <w:b/>
      <w:bCs/>
      <w:color w:val="000000"/>
      <w:sz w:val="20"/>
      <w:szCs w:val="20"/>
    </w:rPr>
  </w:style>
  <w:style w:type="character" w:styleId="Zkladntext2Char" w:customStyle="1">
    <w:name w:val="Základní text 2 Char"/>
    <w:basedOn w:val="DefaultParagraphFont"/>
    <w:qFormat/>
    <w:rPr>
      <w:rFonts w:eastAsia="Times New Roman" w:cs="Times New Roman"/>
      <w:color w:val="000000"/>
      <w:sz w:val="24"/>
      <w:szCs w:val="24"/>
    </w:rPr>
  </w:style>
  <w:style w:type="character" w:styleId="Slovndk">
    <w:name w:val="Line Number"/>
    <w:rPr/>
  </w:style>
  <w:style w:type="character" w:styleId="Odrky">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sz w:val="24"/>
    </w:rPr>
  </w:style>
  <w:style w:type="paragraph" w:styleId="Popisek">
    <w:name w:val="Caption"/>
    <w:basedOn w:val="Normal"/>
    <w:qFormat/>
    <w:pPr>
      <w:suppressLineNumbers/>
      <w:spacing w:before="120" w:after="120"/>
    </w:pPr>
    <w:rPr>
      <w:rFonts w:ascii="Arial" w:hAnsi="Arial" w:cs="Lucida Sans"/>
      <w:i/>
      <w:iCs/>
      <w:sz w:val="24"/>
      <w:szCs w:val="24"/>
    </w:rPr>
  </w:style>
  <w:style w:type="paragraph" w:styleId="Rejstk" w:customStyle="1">
    <w:name w:val="Rejstřík"/>
    <w:basedOn w:val="Normal"/>
    <w:qFormat/>
    <w:pPr/>
    <w:rPr>
      <w:rFonts w:cs="Lucida Sans"/>
      <w:sz w:val="24"/>
    </w:rPr>
  </w:style>
  <w:style w:type="paragraph" w:styleId="Caption">
    <w:name w:val="caption"/>
    <w:basedOn w:val="Normal"/>
    <w:qFormat/>
    <w:pPr>
      <w:spacing w:before="120" w:after="120"/>
    </w:pPr>
    <w:rPr>
      <w:rFonts w:cs="Lucida Sans"/>
      <w:i/>
      <w:iCs/>
      <w:sz w:val="24"/>
      <w:szCs w:val="24"/>
    </w:rPr>
  </w:style>
  <w:style w:type="paragraph" w:styleId="Zhlavazpat" w:customStyle="1">
    <w:name w:val="Záhlaví a zápatí"/>
    <w:basedOn w:val="Normal"/>
    <w:qFormat/>
    <w:pPr/>
    <w:rPr/>
  </w:style>
  <w:style w:type="paragraph" w:styleId="Zhlav">
    <w:name w:val="Header"/>
    <w:basedOn w:val="Normal"/>
    <w:pPr>
      <w:tabs>
        <w:tab w:val="clear" w:pos="708"/>
        <w:tab w:val="center" w:pos="4536" w:leader="none"/>
        <w:tab w:val="right" w:pos="9072" w:leader="none"/>
      </w:tabs>
      <w:spacing w:before="200" w:after="0"/>
      <w:ind w:left="-595" w:firstLine="357"/>
    </w:pPr>
    <w:rPr>
      <w:sz w:val="16"/>
    </w:rPr>
  </w:style>
  <w:style w:type="paragraph" w:styleId="Zpat">
    <w:name w:val="Footer"/>
    <w:basedOn w:val="Normal"/>
    <w:pPr>
      <w:pBdr>
        <w:top w:val="single" w:sz="2" w:space="2" w:color="997E46"/>
      </w:pBdr>
      <w:tabs>
        <w:tab w:val="clear" w:pos="708"/>
        <w:tab w:val="right" w:pos="9072" w:leader="none"/>
      </w:tabs>
      <w:spacing w:before="240" w:after="0"/>
      <w:contextualSpacing/>
      <w:jc w:val="center"/>
    </w:pPr>
    <w:rPr>
      <w:rFonts w:ascii="Garamond" w:hAnsi="Garamond"/>
      <w:sz w:val="16"/>
    </w:rPr>
  </w:style>
  <w:style w:type="paragraph" w:styleId="Envelopeaddress">
    <w:name w:val="envelope address"/>
    <w:basedOn w:val="Normal"/>
    <w:qFormat/>
    <w:pPr>
      <w:spacing w:lineRule="auto" w:line="264"/>
      <w:jc w:val="right"/>
    </w:pPr>
    <w:rPr>
      <w:b/>
    </w:rPr>
  </w:style>
  <w:style w:type="paragraph" w:styleId="Zaruenpodpis" w:customStyle="1">
    <w:name w:val="Zaručený podpis"/>
    <w:basedOn w:val="Normal"/>
    <w:qFormat/>
    <w:pPr>
      <w:spacing w:before="240" w:after="240"/>
      <w:jc w:val="right"/>
    </w:pPr>
    <w:rPr>
      <w:i/>
    </w:rPr>
  </w:style>
  <w:style w:type="paragraph" w:styleId="Date">
    <w:name w:val="Date"/>
    <w:basedOn w:val="Normal"/>
    <w:next w:val="Normal"/>
    <w:qFormat/>
    <w:pPr>
      <w:spacing w:before="480" w:after="360"/>
      <w:jc w:val="right"/>
    </w:pPr>
    <w:rPr/>
  </w:style>
  <w:style w:type="paragraph" w:styleId="Vc" w:customStyle="1">
    <w:name w:val="Věc"/>
    <w:basedOn w:val="Normal"/>
    <w:next w:val="Normal"/>
    <w:qFormat/>
    <w:pPr>
      <w:tabs>
        <w:tab w:val="clear" w:pos="708"/>
        <w:tab w:val="left" w:pos="567" w:leader="none"/>
      </w:tabs>
      <w:spacing w:before="480" w:after="480"/>
      <w:ind w:left="567" w:hanging="567"/>
    </w:pPr>
    <w:rPr>
      <w:b/>
    </w:rPr>
  </w:style>
  <w:style w:type="paragraph" w:styleId="Zdvoilostnzakonen">
    <w:name w:val="Salutation"/>
    <w:basedOn w:val="Normal"/>
    <w:pPr>
      <w:spacing w:before="0" w:after="240"/>
    </w:pPr>
    <w:rPr/>
  </w:style>
  <w:style w:type="paragraph" w:styleId="Odsazentlatextu">
    <w:name w:val="Body Text Indent"/>
    <w:basedOn w:val="Normal"/>
    <w:pPr>
      <w:spacing w:before="0" w:after="120"/>
      <w:ind w:left="283" w:firstLine="357"/>
    </w:pPr>
    <w:rPr/>
  </w:style>
  <w:style w:type="paragraph" w:styleId="Zvraznnzpat" w:customStyle="1">
    <w:name w:val="Zvýraznění zápatí"/>
    <w:qFormat/>
    <w:pPr>
      <w:widowControl w:val="false"/>
      <w:tabs>
        <w:tab w:val="clear" w:pos="708"/>
        <w:tab w:val="right" w:pos="9072" w:leader="none"/>
      </w:tabs>
      <w:suppressAutoHyphens w:val="true"/>
      <w:bidi w:val="0"/>
      <w:spacing w:before="0" w:after="0"/>
      <w:ind w:firstLine="357"/>
      <w:jc w:val="left"/>
    </w:pPr>
    <w:rPr>
      <w:rFonts w:ascii="Garamond" w:hAnsi="Garamond" w:eastAsia="NSimSun" w:cs="Lucida Sans"/>
      <w:color w:val="997E46"/>
      <w:kern w:val="2"/>
      <w:sz w:val="16"/>
      <w:szCs w:val="24"/>
      <w:lang w:val="cs-CZ" w:eastAsia="zh-CN" w:bidi="hi-IN"/>
    </w:rPr>
  </w:style>
  <w:style w:type="paragraph" w:styleId="Poboky" w:customStyle="1">
    <w:name w:val="Pobočky"/>
    <w:basedOn w:val="Zpat"/>
    <w:qFormat/>
    <w:pPr>
      <w:pBdr>
        <w:top w:val="nil"/>
      </w:pBdr>
      <w:jc w:val="left"/>
    </w:pPr>
    <w:rPr/>
  </w:style>
  <w:style w:type="paragraph" w:styleId="Zpatdal" w:customStyle="1">
    <w:name w:val="Zápatí další"/>
    <w:basedOn w:val="Normal"/>
    <w:qFormat/>
    <w:pPr>
      <w:spacing w:before="0" w:after="240"/>
    </w:pPr>
    <w:rPr>
      <w:sz w:val="16"/>
    </w:rPr>
  </w:style>
  <w:style w:type="paragraph" w:styleId="Closing">
    <w:name w:val="Closing"/>
    <w:basedOn w:val="Normal"/>
    <w:qFormat/>
    <w:pPr>
      <w:keepNext w:val="true"/>
      <w:spacing w:before="720" w:after="720"/>
      <w:ind w:left="567" w:firstLine="357"/>
    </w:pPr>
    <w:rPr/>
  </w:style>
  <w:style w:type="paragraph" w:styleId="Podpis">
    <w:name w:val="Signature"/>
    <w:basedOn w:val="Normal"/>
    <w:pPr>
      <w:ind w:left="4536" w:firstLine="357"/>
      <w:jc w:val="center"/>
    </w:pPr>
    <w:rPr/>
  </w:style>
  <w:style w:type="paragraph" w:styleId="Ploha" w:customStyle="1">
    <w:name w:val="Příloha"/>
    <w:basedOn w:val="Normal"/>
    <w:next w:val="Normal"/>
    <w:qFormat/>
    <w:pPr>
      <w:keepNext w:val="true"/>
      <w:spacing w:before="600" w:after="0"/>
    </w:pPr>
    <w:rPr>
      <w:b/>
    </w:rPr>
  </w:style>
  <w:style w:type="paragraph" w:styleId="BalloonText">
    <w:name w:val="Balloon Text"/>
    <w:basedOn w:val="Normal"/>
    <w:qFormat/>
    <w:pPr/>
    <w:rPr>
      <w:rFonts w:ascii="Segoe UI" w:hAnsi="Segoe UI" w:cs="Segoe UI"/>
      <w:sz w:val="18"/>
      <w:szCs w:val="18"/>
    </w:rPr>
  </w:style>
  <w:style w:type="paragraph" w:styleId="ListParagraph">
    <w:name w:val="List Paragraph"/>
    <w:basedOn w:val="Normal"/>
    <w:qFormat/>
    <w:pPr>
      <w:spacing w:lineRule="auto" w:line="276" w:before="0" w:after="200"/>
      <w:ind w:left="720" w:firstLine="357"/>
      <w:contextualSpacing/>
      <w:jc w:val="left"/>
    </w:pPr>
    <w:rPr>
      <w:rFonts w:ascii="Calibri" w:hAnsi="Calibri"/>
    </w:rPr>
  </w:style>
  <w:style w:type="paragraph" w:styleId="Odstavecseseznamem1" w:customStyle="1">
    <w:name w:val="Odstavec se seznamem1"/>
    <w:basedOn w:val="Normal"/>
    <w:qFormat/>
    <w:pPr>
      <w:widowControl w:val="false"/>
      <w:spacing w:lineRule="auto" w:line="276" w:before="0" w:after="200"/>
      <w:ind w:left="720" w:firstLine="357"/>
      <w:contextualSpacing/>
      <w:jc w:val="left"/>
    </w:pPr>
    <w:rPr>
      <w:rFonts w:ascii="Calibri" w:hAnsi="Calibri" w:eastAsia="SimSun" w:cs="Mangal"/>
      <w:kern w:val="2"/>
      <w:sz w:val="24"/>
      <w:szCs w:val="24"/>
      <w:lang w:eastAsia="zh-CN" w:bidi="hi-IN"/>
    </w:rPr>
  </w:style>
  <w:style w:type="paragraph" w:styleId="Adr" w:customStyle="1">
    <w:name w:val="adr"/>
    <w:basedOn w:val="Normal"/>
    <w:qFormat/>
    <w:pPr>
      <w:spacing w:before="280" w:after="280"/>
      <w:ind w:hanging="0"/>
      <w:jc w:val="left"/>
    </w:pPr>
    <w:rPr>
      <w:rFonts w:ascii="Times New Roman" w:hAnsi="Times New Roman" w:eastAsia="Times New Roman" w:cs="Times New Roman"/>
      <w:sz w:val="24"/>
      <w:szCs w:val="24"/>
      <w:lang w:eastAsia="cs-CZ"/>
    </w:rPr>
  </w:style>
  <w:style w:type="paragraph" w:styleId="Default" w:customStyle="1">
    <w:name w:val="Default"/>
    <w:qFormat/>
    <w:pPr>
      <w:widowControl/>
      <w:suppressAutoHyphens w:val="true"/>
      <w:bidi w:val="0"/>
      <w:spacing w:before="0" w:after="0"/>
      <w:jc w:val="left"/>
    </w:pPr>
    <w:rPr>
      <w:rFonts w:eastAsia="Calibri" w:cs="Arial" w:ascii="Arial" w:hAnsi="Arial"/>
      <w:color w:val="000000"/>
      <w:kern w:val="0"/>
      <w:sz w:val="24"/>
      <w:szCs w:val="24"/>
      <w:lang w:eastAsia="en-US" w:bidi="ar-SA" w:val="cs-CZ"/>
    </w:rPr>
  </w:style>
  <w:style w:type="paragraph" w:styleId="Pjemceadresa" w:customStyle="1">
    <w:name w:val="Příjemce adresa"/>
    <w:basedOn w:val="Envelopeaddress"/>
    <w:qFormat/>
    <w:pPr>
      <w:ind w:hanging="0"/>
      <w:jc w:val="left"/>
    </w:pPr>
    <w:rPr>
      <w:rFonts w:cs="Times New Roman"/>
      <w:b w:val="false"/>
    </w:rPr>
  </w:style>
  <w:style w:type="paragraph" w:styleId="Annotationtext">
    <w:name w:val="annotation text"/>
    <w:basedOn w:val="Normal"/>
    <w:qFormat/>
    <w:pPr>
      <w:ind w:left="-357" w:hanging="0"/>
      <w:jc w:val="left"/>
    </w:pPr>
    <w:rPr>
      <w:rFonts w:cs="Times New Roman"/>
      <w:sz w:val="20"/>
      <w:szCs w:val="20"/>
    </w:rPr>
  </w:style>
  <w:style w:type="paragraph" w:styleId="BodyText3">
    <w:name w:val="Body Text 3"/>
    <w:basedOn w:val="Normal"/>
    <w:qFormat/>
    <w:pPr>
      <w:spacing w:before="0" w:after="120"/>
    </w:pPr>
    <w:rPr>
      <w:sz w:val="16"/>
      <w:szCs w:val="16"/>
    </w:rPr>
  </w:style>
  <w:style w:type="paragraph" w:styleId="L3" w:customStyle="1">
    <w:name w:val="l3"/>
    <w:basedOn w:val="Normal"/>
    <w:qFormat/>
    <w:pPr>
      <w:spacing w:before="280" w:after="280"/>
      <w:ind w:hanging="0"/>
      <w:jc w:val="left"/>
    </w:pPr>
    <w:rPr>
      <w:rFonts w:ascii="Times New Roman" w:hAnsi="Times New Roman" w:eastAsia="Times New Roman" w:cs="Times New Roman"/>
      <w:sz w:val="24"/>
      <w:szCs w:val="24"/>
      <w:lang w:eastAsia="cs-CZ"/>
    </w:rPr>
  </w:style>
  <w:style w:type="paragraph" w:styleId="L4" w:customStyle="1">
    <w:name w:val="l4"/>
    <w:basedOn w:val="Normal"/>
    <w:qFormat/>
    <w:pPr>
      <w:spacing w:before="280" w:after="280"/>
      <w:ind w:hanging="0"/>
      <w:jc w:val="left"/>
    </w:pPr>
    <w:rPr>
      <w:rFonts w:ascii="Times New Roman" w:hAnsi="Times New Roman" w:eastAsia="Times New Roman" w:cs="Times New Roman"/>
      <w:sz w:val="24"/>
      <w:szCs w:val="24"/>
      <w:lang w:eastAsia="cs-CZ"/>
    </w:rPr>
  </w:style>
  <w:style w:type="paragraph" w:styleId="Annotationsubject">
    <w:name w:val="annotation subject"/>
    <w:basedOn w:val="Annotationtext"/>
    <w:next w:val="Annotationtext"/>
    <w:qFormat/>
    <w:pPr>
      <w:ind w:left="-357" w:firstLine="357"/>
    </w:pPr>
    <w:rPr>
      <w:b/>
      <w:bCs/>
    </w:rPr>
  </w:style>
  <w:style w:type="paragraph" w:styleId="Revision">
    <w:name w:val="Revision"/>
    <w:qFormat/>
    <w:pPr>
      <w:widowControl/>
      <w:suppressAutoHyphens w:val="true"/>
      <w:bidi w:val="0"/>
      <w:spacing w:before="0" w:after="0"/>
      <w:jc w:val="left"/>
    </w:pPr>
    <w:rPr>
      <w:rFonts w:eastAsia="Calibri" w:cs="Tahoma" w:ascii="Arial" w:hAnsi="Arial"/>
      <w:color w:val="auto"/>
      <w:kern w:val="0"/>
      <w:sz w:val="22"/>
      <w:szCs w:val="22"/>
      <w:lang w:eastAsia="en-US" w:bidi="ar-SA" w:val="cs-CZ"/>
    </w:rPr>
  </w:style>
  <w:style w:type="paragraph" w:styleId="BodyText2">
    <w:name w:val="Body Text 2"/>
    <w:basedOn w:val="Normal"/>
    <w:qFormat/>
    <w:pPr>
      <w:spacing w:lineRule="auto" w:line="480" w:before="0" w:after="12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LibreOffice/7.5.4.2$Windows_X86_64 LibreOffice_project/36ccfdc35048b057fd9854c757a8b67ec53977b6</Application>
  <AppVersion>15.0000</AppVersion>
  <Pages>8</Pages>
  <Words>3202</Words>
  <Characters>18613</Characters>
  <CharactersWithSpaces>21750</CharactersWithSpaces>
  <Paragraphs>81</Paragraphs>
  <Company>Advokátní kancelář Dohnal &amp; Bernard,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2024-10-24T11:06:29Z</dcterms:created>
  <dc:creator/>
  <dc:description/>
  <dc:language>cs-CZ</dc:language>
  <cp:lastModifiedBy/>
  <dcterms:modified xsi:type="dcterms:W3CDTF">2024-10-24T11:08:33Z</dcterms:modified>
  <cp:revision>3</cp:revision>
  <dc:subject>Obchodní dopis</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azyk">
    <vt:lpwstr>česky</vt:lpwstr>
  </property>
</Properties>
</file>