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b/>
          <w:bCs/>
          <w:szCs w:val="24"/>
        </w:rPr>
        <w:t>Krajský úřad Středočeského kraje</w:t>
      </w:r>
    </w:p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szCs w:val="24"/>
        </w:rPr>
        <w:t>Odbor územního plánování a krajský stavební úřad</w:t>
      </w:r>
    </w:p>
    <w:p>
      <w:pPr>
        <w:pStyle w:val="Normal"/>
        <w:ind w:hanging="0"/>
        <w:jc w:val="right"/>
        <w:rPr/>
      </w:pPr>
      <w:r>
        <w:rPr>
          <w:rFonts w:eastAsia="Times New Roman" w:cs="Times New Roman" w:ascii="Times New Roman" w:hAnsi="Times New Roman"/>
          <w:bCs/>
          <w:lang w:eastAsia="ar-SA"/>
        </w:rPr>
        <w:t xml:space="preserve">Zborovská 11, Praha 5-Smíchov </w:t>
      </w:r>
    </w:p>
    <w:p>
      <w:pPr>
        <w:pStyle w:val="Normal"/>
        <w:ind w:hanging="0"/>
        <w:rPr>
          <w:rFonts w:ascii="Times New Roman" w:hAnsi="Times New Roman" w:eastAsia="Times New Roman" w:cs="Times New Roman"/>
          <w:bCs/>
          <w:lang w:eastAsia="ar-SA"/>
        </w:rPr>
      </w:pPr>
      <w:r>
        <w:rPr>
          <w:rFonts w:eastAsia="Times New Roman" w:cs="Times New Roman" w:ascii="Times New Roman" w:hAnsi="Times New Roman"/>
          <w:bCs/>
          <w:lang w:eastAsia="ar-SA"/>
        </w:rPr>
      </w:r>
    </w:p>
    <w:p>
      <w:pPr>
        <w:pStyle w:val="Normal"/>
        <w:ind w:hanging="0"/>
        <w:jc w:val="right"/>
        <w:rPr/>
      </w:pPr>
      <w:r>
        <w:rPr>
          <w:rFonts w:eastAsia="Times New Roman" w:cs="Times New Roman" w:ascii="Times New Roman" w:hAnsi="Times New Roman"/>
          <w:b/>
          <w:lang w:eastAsia="ar-SA"/>
        </w:rPr>
        <w:t>k č.j. 126881/2024/KUSK</w:t>
      </w:r>
    </w:p>
    <w:p>
      <w:pPr>
        <w:pStyle w:val="Normal"/>
        <w:ind w:hanging="0"/>
        <w:jc w:val="right"/>
        <w:rPr/>
      </w:pPr>
      <w:r>
        <w:rPr>
          <w:rFonts w:eastAsia="Times New Roman" w:cs="Times New Roman" w:ascii="Times New Roman" w:hAnsi="Times New Roman"/>
          <w:b/>
          <w:lang w:eastAsia="ar-SA"/>
        </w:rPr>
        <w:t>k sp.zn. SZ 113432/2024/KUSK ÚPS/Št</w:t>
      </w:r>
    </w:p>
    <w:p>
      <w:pPr>
        <w:pStyle w:val="Normal"/>
        <w:ind w:hanging="0"/>
        <w:rPr>
          <w:rFonts w:ascii="Times New Roman" w:hAnsi="Times New Roman" w:eastAsia="Times New Roman" w:cs="Times New Roman"/>
          <w:bCs/>
          <w:lang w:eastAsia="ar-SA"/>
        </w:rPr>
      </w:pPr>
      <w:r>
        <w:rPr>
          <w:rFonts w:eastAsia="Times New Roman" w:cs="Times New Roman" w:ascii="Times New Roman" w:hAnsi="Times New Roman"/>
          <w:bCs/>
          <w:lang w:eastAsia="ar-SA"/>
        </w:rPr>
      </w:r>
    </w:p>
    <w:p>
      <w:pPr>
        <w:pStyle w:val="Normal"/>
        <w:ind w:hanging="0"/>
        <w:jc w:val="right"/>
        <w:rPr>
          <w:rFonts w:ascii="Times New Roman" w:hAnsi="Times New Roman" w:eastAsia="Times New Roman" w:cs="Times New Roman"/>
          <w:bCs/>
          <w:i/>
          <w:i/>
          <w:lang w:eastAsia="ar-SA"/>
        </w:rPr>
      </w:pPr>
      <w:r>
        <w:rPr>
          <w:rFonts w:eastAsia="Times New Roman" w:cs="Times New Roman" w:ascii="Times New Roman" w:hAnsi="Times New Roman"/>
          <w:bCs/>
          <w:i/>
          <w:lang w:eastAsia="ar-SA"/>
        </w:rPr>
      </w:r>
    </w:p>
    <w:p>
      <w:pPr>
        <w:pStyle w:val="Normal"/>
        <w:ind w:hanging="0"/>
        <w:jc w:val="right"/>
        <w:rPr/>
      </w:pPr>
      <w:r>
        <w:rPr>
          <w:rFonts w:eastAsia="Times New Roman" w:cs="Times New Roman" w:ascii="Times New Roman" w:hAnsi="Times New Roman"/>
          <w:bCs/>
          <w:iCs/>
          <w:lang w:eastAsia="ar-SA"/>
        </w:rPr>
        <w:t xml:space="preserve">Praha-Suchdol </w:t>
      </w:r>
      <w:r>
        <w:rPr>
          <w:rFonts w:eastAsia="Times New Roman" w:cs="Times New Roman" w:ascii="Times New Roman" w:hAnsi="Times New Roman"/>
          <w:bCs/>
          <w:iCs/>
          <w:lang w:eastAsia="ar-SA"/>
        </w:rPr>
        <w:t>3. 11. 2024</w:t>
      </w:r>
    </w:p>
    <w:p>
      <w:pPr>
        <w:pStyle w:val="Normal"/>
        <w:ind w:hanging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Řízení o vydání rozhodnutí o umístění stavby nazvané „paralelní dráha RWY 06R/24L o délce 3 100 m Letiště Praha, Ruzyně“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námitky účastníků řízení</w:t>
      </w:r>
    </w:p>
    <w:p>
      <w:pPr>
        <w:pStyle w:val="ListParagraph"/>
        <w:spacing w:lineRule="auto" w:line="240" w:before="0" w:after="0"/>
        <w:ind w:left="284" w:hanging="0"/>
        <w:contextualSpacing/>
        <w:jc w:val="center"/>
        <w:rPr>
          <w:rFonts w:ascii="Times New Roman" w:hAnsi="Times New Roman" w:eastAsia="SimSun" w:cs="Times New Roman"/>
          <w:b/>
          <w:kern w:val="2"/>
          <w:szCs w:val="21"/>
          <w:lang w:eastAsia="ar-SA"/>
        </w:rPr>
      </w:pPr>
      <w:r>
        <w:rPr>
          <w:rFonts w:eastAsia="SimSun" w:cs="Times New Roman" w:ascii="Times New Roman" w:hAnsi="Times New Roman"/>
          <w:b/>
          <w:kern w:val="2"/>
          <w:szCs w:val="21"/>
          <w:lang w:eastAsia="ar-SA"/>
        </w:rPr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Cs w:val="24"/>
        </w:rPr>
        <w:t>Krajský úřad Středočeského kraje, Odbor územního plánování a krajského stavebního řádu (dále jen „stavební úřad“), oznámil pod č.j. </w:t>
      </w:r>
      <w:r>
        <w:rPr>
          <w:rFonts w:eastAsia="Times New Roman" w:cs="Times New Roman" w:ascii="Times New Roman" w:hAnsi="Times New Roman"/>
          <w:bCs/>
          <w:lang w:eastAsia="ar-SA"/>
        </w:rPr>
        <w:t>126881/2024/KUSK</w:t>
      </w:r>
      <w:r>
        <w:rPr>
          <w:rFonts w:eastAsia="Times New Roman" w:cs="Times New Roman" w:ascii="Times New Roman" w:hAnsi="Times New Roman"/>
          <w:b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lang w:eastAsia="ar-SA"/>
        </w:rPr>
        <w:t>ze dne 30. 9. 2024</w:t>
      </w:r>
      <w:r>
        <w:rPr>
          <w:rFonts w:eastAsia="Times New Roman" w:cs="Times New Roman" w:ascii="Times New Roman" w:hAnsi="Times New Roman"/>
          <w:b/>
          <w:lang w:eastAsia="ar-SA"/>
        </w:rPr>
        <w:t xml:space="preserve"> </w:t>
      </w:r>
      <w:r>
        <w:rPr>
          <w:rFonts w:cs="Times New Roman" w:ascii="Times New Roman" w:hAnsi="Times New Roman"/>
          <w:szCs w:val="24"/>
        </w:rPr>
        <w:t>zahájení řízení o žádosti o vydání územního rozhodnutí o umístění stavby dopravní infrastruktury uvedené v § 1 odst. 2 písm. c) zákona č. 416/2009 Sb., o urychlení výstavby strategicky významné infrastruktury, ve znění účinném do 31. 12. 2023 (dále též „liniový zákon“), pro stavbu nazvanou „paralelní dráha RWY 06R/24L o délce 3 100 m Letiště Praha, Ruzyně“ na pozemcích v k.ú. Dobrovíz, Hostivice, Litovice, Přední Kopanina a Ruzyně (dále jen „záměr“ nebo „stavba“).</w:t>
      </w:r>
    </w:p>
    <w:p>
      <w:pPr>
        <w:pStyle w:val="Normal"/>
        <w:ind w:firstLine="708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bCs/>
          <w:kern w:val="2"/>
          <w:szCs w:val="21"/>
        </w:rPr>
        <w:t xml:space="preserve">Jako účastníci předmětného řízení </w:t>
      </w:r>
      <w:r>
        <w:rPr>
          <w:rFonts w:cs="Times New Roman" w:ascii="Times New Roman" w:hAnsi="Times New Roman"/>
          <w:b/>
          <w:bCs/>
          <w:kern w:val="2"/>
          <w:szCs w:val="21"/>
        </w:rPr>
        <w:t xml:space="preserve">s žádostí o vydání územního rozhodnutí my, níže podepsaní účastníci řízení, zásadně nesouhlasíme </w:t>
      </w:r>
      <w:r>
        <w:rPr>
          <w:rFonts w:cs="Times New Roman" w:ascii="Times New Roman" w:hAnsi="Times New Roman"/>
          <w:bCs/>
          <w:kern w:val="2"/>
          <w:szCs w:val="21"/>
        </w:rPr>
        <w:t>a podáváme k</w:t>
      </w:r>
      <w:r>
        <w:rPr>
          <w:rFonts w:eastAsia="Times New Roman" w:cs="Times New Roman" w:ascii="Times New Roman" w:hAnsi="Times New Roman"/>
          <w:kern w:val="2"/>
          <w:szCs w:val="21"/>
          <w:lang w:eastAsia="ar-SA"/>
        </w:rPr>
        <w:t xml:space="preserve"> výše uvedené žádosti tyto</w:t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  <w:kern w:val="2"/>
          <w:szCs w:val="21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kern w:val="2"/>
          <w:szCs w:val="21"/>
          <w:u w:val="single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kern w:val="2"/>
          <w:szCs w:val="21"/>
          <w:u w:val="single"/>
          <w:lang w:eastAsia="ar-SA"/>
        </w:rPr>
        <w:t>námitky.</w:t>
      </w:r>
    </w:p>
    <w:p>
      <w:pPr>
        <w:pStyle w:val="Normal"/>
        <w:ind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ind w:hanging="0"/>
        <w:rPr/>
      </w:pPr>
      <w:r>
        <w:rPr>
          <w:rFonts w:eastAsia="Times New Roman" w:cs="Times New Roman" w:ascii="Times New Roman" w:hAnsi="Times New Roman"/>
          <w:bCs/>
          <w:kern w:val="2"/>
          <w:szCs w:val="21"/>
          <w:lang w:eastAsia="ar-SA"/>
        </w:rPr>
        <w:t>Námitky proti předmětné stavbě</w:t>
      </w:r>
      <w:r>
        <w:rPr>
          <w:rFonts w:eastAsia="Times New Roman" w:cs="Times New Roman" w:ascii="Times New Roman" w:hAnsi="Times New Roman"/>
          <w:kern w:val="2"/>
          <w:szCs w:val="21"/>
          <w:lang w:eastAsia="ar-SA"/>
        </w:rPr>
        <w:t xml:space="preserve"> podáváme z důvodů nepřípustného zásahu do charakteru území (pohoda bydlení) a z důvodu enormního zvýšení hlukové a imisní zátěže v lokalitě a především po dobu jejího následného trvalého užívání, kdy dojde k významnému trvalému zvýšení hlukového zatížení z letištního provozu. Námitky podáváme i z důvodu zásahu do práva na ochranu životního prostředí, zejména ohrožení zájmů chráněných zákonem č. 114/1992 Sb., o ochraně přírody a krajiny, ve znění pozdějších předpisů (dále jen „ZOPK“). Námitky podáváme jako vlastníci dotčených pozemků a staveb.</w:t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  <w:kern w:val="2"/>
          <w:szCs w:val="21"/>
          <w:lang w:eastAsia="cs-CZ"/>
        </w:rPr>
      </w:pPr>
      <w:r>
        <w:rPr>
          <w:rFonts w:eastAsia="Times New Roman" w:cs="Times New Roman" w:ascii="Times New Roman" w:hAnsi="Times New Roman"/>
          <w:b/>
          <w:kern w:val="2"/>
          <w:szCs w:val="21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Rozpor s cíli a úkoly územního plánování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Jsme přesvědčeni, že předmětný záměr je v rozporu s cíli a úkoly územního plánování, neboť je v rozporu s § 18 odst. 1 zákona č. 183/206 Sb., o územním plánování a stavebním řádu (stavební zákon), v rozhodném znění, podle kterého je cílem územního plánování vytvářet předpoklady pro výstavbu a pro udržitelný rozvoj území, spočívající ve vyváženém vztahu podmínek pro příznivé životní prostředí, pro hospodářský rozvoj a pro soudržnost společenství obyvatel území. Předmětný záměr však předpoklady pro udržitelný rozvoj nesplňuje, když ve svém širším okolí podstatně zhoršuje životní prostředí. Je třeba uvést, že rozšiřování letiště není nezbytné a nemůže převážit na veřejným zájmem na ochraně zdraví a přírody.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kern w:val="2"/>
          <w:lang w:eastAsia="cs-CZ"/>
        </w:rPr>
        <w:t>Zásah do pohody bydlení, rozpor s charakterem území</w:t>
      </w:r>
    </w:p>
    <w:p>
      <w:pPr>
        <w:pStyle w:val="Normal"/>
        <w:widowControl w:val="false"/>
        <w:ind w:hanging="0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>Umístění staveb musí odpovídat urbanistickému a architektonickému charakteru prostředí a požadavkům na zachování pohody bydlení a zdravého životního prostředí.</w:t>
      </w:r>
    </w:p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bCs/>
          <w:kern w:val="2"/>
          <w:lang w:eastAsia="cs-CZ"/>
        </w:rPr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</w:r>
    </w:p>
    <w:p>
      <w:pPr>
        <w:pStyle w:val="Normal"/>
        <w:widowControl w:val="false"/>
        <w:ind w:hanging="0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 xml:space="preserve">Umístění navrhované stavby bude v důsledku enormního nárůstu hlukové zátěže znamenat nepřípustný zásah do práva účastníků řízení na zachování pohody bydlení. Nejvyšší správní soud ve své konstantní judikatuře (např. rozsudek Nejvyššího správního soudu č.j. 8 As 27/2012 – 113 nebo č.j. 2 As 44/2005) definuje pohodu bydlení jako </w:t>
      </w:r>
      <w:r>
        <w:rPr>
          <w:rFonts w:eastAsia="Times New Roman" w:cs="Times New Roman" w:ascii="Times New Roman" w:hAnsi="Times New Roman"/>
          <w:bCs/>
          <w:i/>
          <w:iCs/>
          <w:kern w:val="2"/>
          <w:lang w:eastAsia="cs-CZ"/>
        </w:rPr>
        <w:t>„souhrn činitelů a vlivů, které přispívají k tomu, aby bydlení bylo zdravé a vhodné pro všechny kategorie uživatelů, resp. aby byla vytvořena vhodná atmosféra klidného bydlení; pohoda bydlení je v tomto pojetí dána zejména kvalitou jednotlivých složek životního prostředí</w:t>
      </w:r>
      <w:r>
        <w:rPr>
          <w:rFonts w:eastAsia="Times New Roman" w:cs="Times New Roman" w:ascii="Times New Roman" w:hAnsi="Times New Roman"/>
          <w:b/>
          <w:i/>
          <w:iCs/>
          <w:kern w:val="2"/>
          <w:lang w:eastAsia="cs-CZ"/>
        </w:rPr>
        <w:t>, např. nízkou hladinou hluku (z dopravy, výroby, zábavních podniků, ze stavebních prací aj.), čistotou ovzduší</w:t>
      </w:r>
      <w:r>
        <w:rPr>
          <w:rFonts w:eastAsia="Times New Roman" w:cs="Times New Roman" w:ascii="Times New Roman" w:hAnsi="Times New Roman"/>
          <w:bCs/>
          <w:i/>
          <w:iCs/>
          <w:kern w:val="2"/>
          <w:lang w:eastAsia="cs-CZ"/>
        </w:rPr>
        <w:t>, přiměřeným množstvím zeleně, nízkými emisemi pachů a prachu, osluněním apod.; pro zabezpečení pohody bydlení se pak zkoumá intenzita narušení jednotlivých činitelů a jeho důsledky, tedy objektivně existující souhrn činitelů a vlivů, které se posuzují každý jednotlivě a všechny ve vzájemných souvislostech“</w:t>
      </w:r>
      <w:r>
        <w:rPr>
          <w:rFonts w:eastAsia="Times New Roman" w:cs="Times New Roman" w:ascii="Times New Roman" w:hAnsi="Times New Roman"/>
          <w:bCs/>
          <w:kern w:val="2"/>
          <w:lang w:eastAsia="cs-CZ"/>
        </w:rPr>
        <w:t>.</w:t>
      </w:r>
    </w:p>
    <w:p>
      <w:pPr>
        <w:pStyle w:val="Normal"/>
        <w:widowControl w:val="false"/>
        <w:ind w:firstLine="709"/>
        <w:rPr>
          <w:rFonts w:ascii="Times New Roman" w:hAnsi="Times New Roman" w:eastAsia="Times New Roman" w:cs="Times New Roman"/>
          <w:bCs/>
          <w:kern w:val="2"/>
          <w:lang w:eastAsia="cs-CZ"/>
        </w:rPr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</w:r>
    </w:p>
    <w:p>
      <w:pPr>
        <w:pStyle w:val="Normal"/>
        <w:widowControl w:val="false"/>
        <w:ind w:hanging="0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>Současně je podle názoru NSS třeba přihlížet i k subjektivním hlediskům daným způsobem života osob, jichž se má stavba dotýkat, pokud tyto subjektivní nároky na pohodu bydlení nevybočují v podstatné míře od obecných standardů se zohledněním místních zvláštností dané lokality, a také k případné památkové ochraně území.</w:t>
      </w:r>
    </w:p>
    <w:p>
      <w:pPr>
        <w:pStyle w:val="Normal"/>
        <w:widowControl w:val="false"/>
        <w:ind w:firstLine="709"/>
        <w:rPr>
          <w:rFonts w:ascii="Times New Roman" w:hAnsi="Times New Roman" w:eastAsia="Times New Roman" w:cs="Times New Roman"/>
          <w:bCs/>
          <w:kern w:val="2"/>
          <w:lang w:eastAsia="cs-CZ"/>
        </w:rPr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</w:r>
    </w:p>
    <w:p>
      <w:pPr>
        <w:pStyle w:val="Normal"/>
        <w:widowControl w:val="false"/>
        <w:ind w:hanging="0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>Jak uvedeno výše, posuzovaný záměr je na samém okraji zástavby, na hranici volné krajiny. Stavba a zejména její trvalý provoz přinesou významný nárůst hlukové zátěže, bude mít negativní vliv na životní prostředí a negativně se dotkne i klimatu.</w:t>
      </w:r>
    </w:p>
    <w:p>
      <w:pPr>
        <w:pStyle w:val="Normal"/>
        <w:widowControl w:val="false"/>
        <w:ind w:firstLine="709"/>
        <w:rPr>
          <w:rFonts w:ascii="Times New Roman" w:hAnsi="Times New Roman" w:eastAsia="Times New Roman" w:cs="Times New Roman"/>
          <w:b/>
          <w:bCs/>
          <w:color w:val="000000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K posuzování vlivů na životní prostředí</w:t>
      </w:r>
    </w:p>
    <w:p>
      <w:pPr>
        <w:pStyle w:val="Normal"/>
        <w:ind w:hanging="0"/>
        <w:rPr/>
      </w:pPr>
      <w:r>
        <w:rPr>
          <w:rFonts w:eastAsia="Times New Roman" w:cs="Times New Roman" w:ascii="Times New Roman" w:hAnsi="Times New Roman"/>
          <w:color w:val="000000"/>
          <w:lang w:eastAsia="cs-CZ"/>
        </w:rPr>
        <w:t>Dále považujeme za důležité namítnout, že k předmětnému záměru mělo být vydáno nové závazné stanovisko dle zákona č. 100/2001 Sb., o posuzování vlivů na životní prostředí, ve znění pozdějších předpisů (dále jen „zákon EIA“), neboť k žádosti přiložené závazné stanovisko Ministerstva životního prostředí (dále jen „MŽP“) je z roku 2011, které bylo opakovaně prodlužováno, naposledy dne 29. 2. 2024.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ind w:hanging="0"/>
        <w:rPr/>
      </w:pPr>
      <w:r>
        <w:rPr>
          <w:rFonts w:eastAsia="Times New Roman" w:cs="Times New Roman" w:ascii="Times New Roman" w:hAnsi="Times New Roman"/>
          <w:color w:val="000000"/>
          <w:lang w:eastAsia="cs-CZ"/>
        </w:rPr>
        <w:t>Jsme přesvědčeni, že toto již druhé prodloužení stanoviska EIA je nezákonné a věcně nesprávné, neboť nebyly splněny podmínky a nebyly prokázány důvody, pro které může být původnímu stanovisku EIA z roku 2011 již podruhé prodloužena platnost. 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Normal"/>
        <w:ind w:hanging="0"/>
        <w:rPr/>
      </w:pPr>
      <w:r>
        <w:rPr>
          <w:rFonts w:eastAsia="Times New Roman" w:cs="Times New Roman" w:ascii="Times New Roman" w:hAnsi="Times New Roman"/>
          <w:lang w:eastAsia="cs-CZ"/>
        </w:rPr>
        <w:t xml:space="preserve">Od doby vydání původního stanoviska EIA </w:t>
      </w:r>
      <w:r>
        <w:rPr>
          <w:rFonts w:eastAsia="Times New Roman" w:cs="Times New Roman" w:ascii="Times New Roman" w:hAnsi="Times New Roman"/>
          <w:b/>
          <w:bCs/>
          <w:lang w:eastAsia="cs-CZ"/>
        </w:rPr>
        <w:t>před třinácti (!) lety</w:t>
      </w:r>
      <w:r>
        <w:rPr>
          <w:rFonts w:eastAsia="Times New Roman" w:cs="Times New Roman" w:ascii="Times New Roman" w:hAnsi="Times New Roman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cs-CZ"/>
        </w:rPr>
        <w:t>došlo ke změnám podmínek v dotčeném území a též ke změnám poznatků a metod posuzování, v jejichž důsledku by záměr mohl mít dosud neposouzené významné vlivy na životní prostředí.</w:t>
      </w:r>
      <w:r>
        <w:rPr>
          <w:rFonts w:eastAsia="Times New Roman" w:cs="Times New Roman" w:ascii="Times New Roman" w:hAnsi="Times New Roman"/>
          <w:lang w:eastAsia="cs-CZ"/>
        </w:rPr>
        <w:t xml:space="preserve"> V této souvislosti zdůrazňujeme, že pro neprodloužení stanoviska EIA je dle závazného textu § 94 a odst. 4 zákona EIA dostačující potenciál dosud neposouzených významných vlivů na životní prostředí. Toto ustanovení je třeba vykládat v souladu s principem předběžné opatrnosti dle § 13 zákona č. 17/1992 Sb., o životním prostředí, ve znění pozdějších předpisů.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ind w:hanging="0"/>
        <w:rPr/>
      </w:pPr>
      <w:r>
        <w:rPr>
          <w:rFonts w:eastAsia="Times New Roman" w:cs="Times New Roman" w:ascii="Times New Roman" w:hAnsi="Times New Roman"/>
          <w:color w:val="000000"/>
          <w:lang w:eastAsia="cs-CZ"/>
        </w:rPr>
        <w:t>Aktuálně existují podstatné změny ve stavu životního prostředí, ve stupni poznání a metodiky, a existují i nové problémy, na které původní EIA pochopitelně nereaguje, zejména co se týče vlivů záměru na klima a hlukové zatížení.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kern w:val="2"/>
          <w:lang w:eastAsia="cs-CZ"/>
        </w:rPr>
        <w:t>Překračování hygienických limitů hluku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>Provozem předmětné stavby (v důsledku navýšení kapacity letiště) dojde k enormnímu nárůstu hluku, přičemž dotčeny budou nejen přilehlé obce a městské části Prahy, ale i ty vzdálenější. Jako obyvatelé městské části Praha-Suchdol budeme provozem předmětné stavby negativně dotčeni, což je ostatně uvedeno i v samotném prodloužení stanoviska EIA (na str. 39), neboť z provozu na předmětné stavbě (dráze) bude docházet ke kumulativním vlivům se silničním hlukem, a bude zasaženo do našeho práva na pohodu bydlení, na příznivé životní prostředí, ale dojde též k ohrožení našeho (veřejného) zdraví. Celkově tak dojde k zhoršení kvality prostředí.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kern w:val="2"/>
          <w:lang w:eastAsia="cs-CZ"/>
        </w:rPr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lang w:eastAsia="cs-CZ"/>
        </w:rPr>
        <w:t>V této souvislosti je nutno též poukázat na čl. 35 odst. 3 Listiny základních práv a svobod, podle kterého při výkonu svých práv nikdo nesmí ohrožovat ani poškozovat životní prostředí, přírodní zdroje, druhové bohatství přírody a kulturní památky nad míru stanovenou zákonem. Nelze tedy umístit záměr, který zhorší již stávající nadlimitní hlukovou zátěž v obytných oblastech hl. m. Prahy a dalších přilehlých obcích.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Cs/>
          <w:kern w:val="2"/>
          <w:lang w:eastAsia="cs-CZ"/>
        </w:rPr>
      </w:pPr>
      <w:r>
        <w:rPr/>
      </w:r>
      <w:r>
        <w:br w:type="page"/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kern w:val="2"/>
          <w:lang w:eastAsia="cs-CZ"/>
        </w:rPr>
        <w:t>Závěr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kern w:val="2"/>
          <w:lang w:eastAsia="cs-CZ"/>
        </w:rPr>
        <w:t xml:space="preserve">S ohledem na výše uvedené požadujeme, aby stavební úřad žádost o vydání rozhodnutí o umístění stavby </w:t>
      </w:r>
      <w:r>
        <w:rPr>
          <w:rFonts w:cs="Times New Roman" w:ascii="Times New Roman" w:hAnsi="Times New Roman"/>
          <w:b/>
          <w:szCs w:val="24"/>
        </w:rPr>
        <w:t>„paralelní dráha RWY 06R/24L o délce 3 100 m Letiště Praha, Ruzyně“ na pozemcích v k.ú. Dobrovíz, Hostivice, Litovice, Přední Kopanina a Ruzyně zamítl.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/>
      </w:pPr>
      <w:r>
        <w:rPr/>
      </w:r>
    </w:p>
    <w:p>
      <w:pPr>
        <w:pStyle w:val="Normal"/>
        <w:widowControl w:val="false"/>
        <w:ind w:hanging="0"/>
        <w:rPr>
          <w:rFonts w:ascii="Times New Roman" w:hAnsi="Times New Roman" w:eastAsia="Times New Roman" w:cs="Times New Roman"/>
          <w:b/>
          <w:kern w:val="2"/>
          <w:lang w:eastAsia="cs-CZ"/>
        </w:rPr>
      </w:pPr>
      <w:r>
        <w:rPr>
          <w:rFonts w:eastAsia="Times New Roman" w:cs="Times New Roman" w:ascii="Times New Roman" w:hAnsi="Times New Roman"/>
          <w:b/>
          <w:kern w:val="2"/>
          <w:lang w:eastAsia="cs-CZ"/>
        </w:rPr>
      </w:r>
    </w:p>
    <w:tbl>
      <w:tblPr>
        <w:tblW w:w="9011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9"/>
        <w:gridCol w:w="1426"/>
        <w:gridCol w:w="3251"/>
        <w:gridCol w:w="1904"/>
      </w:tblGrid>
      <w:tr>
        <w:trPr>
          <w:trHeight w:val="397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  <w:t>Jméno a příjmení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  <w:t>Datum narození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  <w:t>Bydliště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  <w:t>Podpis</w:t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  <w:tr>
        <w:trPr>
          <w:trHeight w:val="1134" w:hRule="atLeast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kern w:val="2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eastAsia="cs-CZ"/>
              </w:rPr>
            </w:r>
          </w:p>
        </w:tc>
      </w:tr>
    </w:tbl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276" w:footer="454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Calibri Light">
    <w:charset w:val="01"/>
    <w:family w:val="swiss"/>
    <w:pitch w:val="default"/>
  </w:font>
  <w:font w:name="Garamond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libri">
    <w:charset w:val="01"/>
    <w:family w:val="swiss"/>
    <w:pitch w:val="default"/>
  </w:font>
  <w:font w:name="0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dal"/>
      <w:spacing w:before="0" w:after="240"/>
      <w:contextualSpacing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2"/>
        <w:b/>
        <w:szCs w:val="22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357"/>
      <w:jc w:val="both"/>
    </w:pPr>
    <w:rPr>
      <w:rFonts w:eastAsia="Calibri" w:cs="0" w:ascii="Arial" w:hAnsi="Arial"/>
      <w:color w:val="auto"/>
      <w:kern w:val="0"/>
      <w:sz w:val="22"/>
      <w:szCs w:val="22"/>
      <w:lang w:eastAsia="en-US" w:bidi="ar-SA" w:val="cs-CZ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0"/>
      <w:color w:val="2E74B5"/>
      <w:sz w:val="32"/>
      <w:szCs w:val="32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0"/>
      <w:color w:val="2E74B5"/>
      <w:sz w:val="26"/>
      <w:szCs w:val="2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jc w:val="right"/>
      <w:outlineLvl w:val="2"/>
    </w:pPr>
    <w:rPr>
      <w:rFonts w:eastAsia="Times New Roman" w:cs="Arial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Pr>
      <w:rFonts w:eastAsia="Times New Roman" w:cs="Times New Roman"/>
      <w:color w:val="000000"/>
      <w:sz w:val="16"/>
      <w:szCs w:val="24"/>
    </w:rPr>
  </w:style>
  <w:style w:type="character" w:styleId="ZpatChar" w:customStyle="1">
    <w:name w:val="Zápatí Char"/>
    <w:basedOn w:val="DefaultParagraphFont"/>
    <w:qFormat/>
    <w:rPr>
      <w:rFonts w:ascii="Garamond" w:hAnsi="Garamond" w:eastAsia="Times New Roman" w:cs="Times New Roman"/>
      <w:color w:val="000000"/>
      <w:sz w:val="16"/>
      <w:szCs w:val="24"/>
    </w:rPr>
  </w:style>
  <w:style w:type="character" w:styleId="DatumChar" w:customStyle="1">
    <w:name w:val="Datum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OslovenChar" w:customStyle="1">
    <w:name w:val="Oslovení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ZkladntextChar" w:customStyle="1">
    <w:name w:val="Základní text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Zkladntext-prvnodsazenChar" w:customStyle="1">
    <w:name w:val="Základní text - první odsazený Char"/>
    <w:basedOn w:val="ZkladntextChar"/>
    <w:qFormat/>
    <w:rPr>
      <w:rFonts w:eastAsia="Times New Roman" w:cs="Times New Roman"/>
      <w:color w:val="000000"/>
      <w:sz w:val="24"/>
      <w:szCs w:val="24"/>
    </w:rPr>
  </w:style>
  <w:style w:type="character" w:styleId="Internetovodkaz">
    <w:name w:val="Hyperlink"/>
    <w:basedOn w:val="DefaultParagraphFont"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character" w:styleId="ZvraznnzpatChar" w:customStyle="1">
    <w:name w:val="Zvýraznění zápatí Char"/>
    <w:basedOn w:val="ZpatChar"/>
    <w:qFormat/>
    <w:rPr>
      <w:rFonts w:ascii="Garamond" w:hAnsi="Garamond" w:eastAsia="Times New Roman" w:cs="Times New Roman"/>
      <w:color w:val="997E46"/>
      <w:sz w:val="16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vrChar" w:customStyle="1">
    <w:name w:val="Závěr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PodpisChar" w:customStyle="1">
    <w:name w:val="Podpis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TextbublinyChar" w:customStyle="1">
    <w:name w:val="Text bubliny Char"/>
    <w:basedOn w:val="DefaultParagraphFont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ZkladntextodsazenChar" w:customStyle="1">
    <w:name w:val="Základní text odsazený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Nadpis3Char" w:customStyle="1">
    <w:name w:val="Nadpis 3 Char"/>
    <w:basedOn w:val="DefaultParagraphFont"/>
    <w:qFormat/>
    <w:rPr>
      <w:rFonts w:eastAsia="Times New Roman" w:cs="Arial"/>
      <w:color w:val="000000"/>
      <w:sz w:val="24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xtkomenteChar" w:customStyle="1">
    <w:name w:val="Text komentáře Char"/>
    <w:basedOn w:val="DefaultParagraphFont"/>
    <w:qFormat/>
    <w:rPr>
      <w:rFonts w:cs="Times New Roman"/>
      <w:color w:val="000000"/>
      <w:sz w:val="20"/>
      <w:szCs w:val="20"/>
    </w:rPr>
  </w:style>
  <w:style w:type="character" w:styleId="Nadpis2Char" w:customStyle="1">
    <w:name w:val="Nadpis 2 Char"/>
    <w:basedOn w:val="DefaultParagraphFont"/>
    <w:qFormat/>
    <w:rPr>
      <w:rFonts w:ascii="Calibri Light" w:hAnsi="Calibri Light" w:eastAsia="0"/>
      <w:color w:val="2E74B5"/>
      <w:sz w:val="26"/>
      <w:szCs w:val="26"/>
    </w:rPr>
  </w:style>
  <w:style w:type="character" w:styleId="Nadpis1Char" w:customStyle="1">
    <w:name w:val="Nadpis 1 Char"/>
    <w:basedOn w:val="DefaultParagraphFont"/>
    <w:qFormat/>
    <w:rPr>
      <w:rFonts w:ascii="Calibri Light" w:hAnsi="Calibri Light" w:eastAsia="0"/>
      <w:color w:val="2E74B5"/>
      <w:sz w:val="32"/>
      <w:szCs w:val="32"/>
    </w:rPr>
  </w:style>
  <w:style w:type="character" w:styleId="Zkladntext3Char" w:customStyle="1">
    <w:name w:val="Základní text 3 Char"/>
    <w:basedOn w:val="DefaultParagraphFont"/>
    <w:qFormat/>
    <w:rPr>
      <w:rFonts w:eastAsia="Times New Roman" w:cs="Times New Roman"/>
      <w:color w:val="000000"/>
      <w:sz w:val="16"/>
      <w:szCs w:val="16"/>
    </w:rPr>
  </w:style>
  <w:style w:type="character" w:styleId="HTMLVariable">
    <w:name w:val="HTML Variable"/>
    <w:basedOn w:val="DefaultParagraphFont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PedmtkomenteChar" w:customStyle="1">
    <w:name w:val="Předmět komentáře Char"/>
    <w:basedOn w:val="TextkomenteChar"/>
    <w:qFormat/>
    <w:rPr>
      <w:rFonts w:cs="Times New Roman"/>
      <w:b/>
      <w:bCs/>
      <w:color w:val="000000"/>
      <w:sz w:val="20"/>
      <w:szCs w:val="20"/>
    </w:rPr>
  </w:style>
  <w:style w:type="character" w:styleId="Zkladntext2Char" w:customStyle="1">
    <w:name w:val="Základní text 2 Char"/>
    <w:basedOn w:val="DefaultParagraphFont"/>
    <w:qFormat/>
    <w:rPr>
      <w:rFonts w:eastAsia="Times New Roman" w:cs="Times New Roman"/>
      <w:color w:val="000000"/>
      <w:sz w:val="24"/>
      <w:szCs w:val="24"/>
    </w:rPr>
  </w:style>
  <w:style w:type="character" w:styleId="Slovndk">
    <w:name w:val="Line Number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/>
    <w:rPr>
      <w:rFonts w:cs="Lucida Sans"/>
      <w:sz w:val="24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before="200" w:after="0"/>
      <w:ind w:left="-595" w:firstLine="357"/>
    </w:pPr>
    <w:rPr>
      <w:sz w:val="16"/>
    </w:rPr>
  </w:style>
  <w:style w:type="paragraph" w:styleId="Zpat">
    <w:name w:val="Footer"/>
    <w:basedOn w:val="Normal"/>
    <w:pPr>
      <w:pBdr>
        <w:top w:val="single" w:sz="2" w:space="2" w:color="997E46"/>
      </w:pBdr>
      <w:tabs>
        <w:tab w:val="clear" w:pos="708"/>
        <w:tab w:val="right" w:pos="9072" w:leader="none"/>
      </w:tabs>
      <w:spacing w:before="240" w:after="0"/>
      <w:contextualSpacing/>
      <w:jc w:val="center"/>
    </w:pPr>
    <w:rPr>
      <w:rFonts w:ascii="Garamond" w:hAnsi="Garamond"/>
      <w:sz w:val="16"/>
    </w:rPr>
  </w:style>
  <w:style w:type="paragraph" w:styleId="Envelopeaddress">
    <w:name w:val="envelope address"/>
    <w:basedOn w:val="Normal"/>
    <w:qFormat/>
    <w:pPr>
      <w:spacing w:lineRule="auto" w:line="264"/>
      <w:jc w:val="right"/>
    </w:pPr>
    <w:rPr>
      <w:b/>
    </w:rPr>
  </w:style>
  <w:style w:type="paragraph" w:styleId="Zaruenpodpis" w:customStyle="1">
    <w:name w:val="Zaručený podpis"/>
    <w:basedOn w:val="Normal"/>
    <w:qFormat/>
    <w:pPr>
      <w:spacing w:before="240" w:after="240"/>
      <w:jc w:val="right"/>
    </w:pPr>
    <w:rPr>
      <w:i/>
    </w:rPr>
  </w:style>
  <w:style w:type="paragraph" w:styleId="Date">
    <w:name w:val="Date"/>
    <w:basedOn w:val="Normal"/>
    <w:next w:val="Normal"/>
    <w:qFormat/>
    <w:pPr>
      <w:spacing w:before="480" w:after="360"/>
      <w:jc w:val="right"/>
    </w:pPr>
    <w:rPr/>
  </w:style>
  <w:style w:type="paragraph" w:styleId="Vc" w:customStyle="1">
    <w:name w:val="Věc"/>
    <w:basedOn w:val="Normal"/>
    <w:next w:val="Normal"/>
    <w:qFormat/>
    <w:pPr>
      <w:tabs>
        <w:tab w:val="clear" w:pos="708"/>
        <w:tab w:val="left" w:pos="567" w:leader="none"/>
      </w:tabs>
      <w:spacing w:before="480" w:after="480"/>
      <w:ind w:left="567" w:hanging="567"/>
    </w:pPr>
    <w:rPr>
      <w:b/>
    </w:rPr>
  </w:style>
  <w:style w:type="paragraph" w:styleId="Zdvoilostnzakonen">
    <w:name w:val="Salutation"/>
    <w:basedOn w:val="Normal"/>
    <w:pPr>
      <w:spacing w:before="0" w:after="240"/>
    </w:pPr>
    <w:rPr/>
  </w:style>
  <w:style w:type="paragraph" w:styleId="Odsazentlatextu">
    <w:name w:val="Body Text Indent"/>
    <w:basedOn w:val="Normal"/>
    <w:pPr>
      <w:spacing w:before="0" w:after="120"/>
      <w:ind w:left="283" w:firstLine="357"/>
    </w:pPr>
    <w:rPr/>
  </w:style>
  <w:style w:type="paragraph" w:styleId="Zvraznnzpat" w:customStyle="1">
    <w:name w:val="Zvýraznění zápatí"/>
    <w:qFormat/>
    <w:pPr>
      <w:widowControl w:val="false"/>
      <w:tabs>
        <w:tab w:val="clear" w:pos="708"/>
        <w:tab w:val="right" w:pos="9072" w:leader="none"/>
      </w:tabs>
      <w:suppressAutoHyphens w:val="true"/>
      <w:bidi w:val="0"/>
      <w:spacing w:before="0" w:after="0"/>
      <w:ind w:firstLine="357"/>
      <w:jc w:val="left"/>
    </w:pPr>
    <w:rPr>
      <w:rFonts w:ascii="Garamond" w:hAnsi="Garamond" w:eastAsia="NSimSun" w:cs="Lucida Sans"/>
      <w:color w:val="997E46"/>
      <w:kern w:val="2"/>
      <w:sz w:val="16"/>
      <w:szCs w:val="24"/>
      <w:lang w:val="cs-CZ" w:eastAsia="zh-CN" w:bidi="hi-IN"/>
    </w:rPr>
  </w:style>
  <w:style w:type="paragraph" w:styleId="Poboky" w:customStyle="1">
    <w:name w:val="Pobočky"/>
    <w:basedOn w:val="Zpat"/>
    <w:qFormat/>
    <w:pPr>
      <w:pBdr>
        <w:top w:val="nil"/>
      </w:pBdr>
      <w:jc w:val="left"/>
    </w:pPr>
    <w:rPr/>
  </w:style>
  <w:style w:type="paragraph" w:styleId="Zpatdal" w:customStyle="1">
    <w:name w:val="Zápatí další"/>
    <w:basedOn w:val="Normal"/>
    <w:qFormat/>
    <w:pPr>
      <w:spacing w:before="0" w:after="240"/>
    </w:pPr>
    <w:rPr>
      <w:sz w:val="16"/>
    </w:rPr>
  </w:style>
  <w:style w:type="paragraph" w:styleId="Closing">
    <w:name w:val="Closing"/>
    <w:basedOn w:val="Normal"/>
    <w:qFormat/>
    <w:pPr>
      <w:keepNext w:val="true"/>
      <w:spacing w:before="720" w:after="720"/>
      <w:ind w:left="567" w:firstLine="357"/>
    </w:pPr>
    <w:rPr/>
  </w:style>
  <w:style w:type="paragraph" w:styleId="Podpis">
    <w:name w:val="Signature"/>
    <w:basedOn w:val="Normal"/>
    <w:pPr>
      <w:ind w:left="4536" w:firstLine="357"/>
      <w:jc w:val="center"/>
    </w:pPr>
    <w:rPr/>
  </w:style>
  <w:style w:type="paragraph" w:styleId="Ploha" w:customStyle="1">
    <w:name w:val="Příloha"/>
    <w:basedOn w:val="Normal"/>
    <w:next w:val="Normal"/>
    <w:qFormat/>
    <w:pPr>
      <w:keepNext w:val="true"/>
      <w:spacing w:before="600" w:after="0"/>
    </w:pPr>
    <w:rPr>
      <w:b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firstLine="357"/>
      <w:contextualSpacing/>
      <w:jc w:val="left"/>
    </w:pPr>
    <w:rPr>
      <w:rFonts w:ascii="Calibri" w:hAnsi="Calibri"/>
    </w:rPr>
  </w:style>
  <w:style w:type="paragraph" w:styleId="Odstavecseseznamem1" w:customStyle="1">
    <w:name w:val="Odstavec se seznamem1"/>
    <w:basedOn w:val="Normal"/>
    <w:qFormat/>
    <w:pPr>
      <w:widowControl w:val="false"/>
      <w:spacing w:lineRule="auto" w:line="276" w:before="0" w:after="200"/>
      <w:ind w:left="720" w:firstLine="357"/>
      <w:contextualSpacing/>
      <w:jc w:val="left"/>
    </w:pPr>
    <w:rPr>
      <w:rFonts w:ascii="Calibri" w:hAnsi="Calibri" w:eastAsia="SimSun" w:cs="Mangal"/>
      <w:kern w:val="2"/>
      <w:sz w:val="24"/>
      <w:szCs w:val="24"/>
      <w:lang w:eastAsia="zh-CN" w:bidi="hi-IN"/>
    </w:rPr>
  </w:style>
  <w:style w:type="paragraph" w:styleId="Adr" w:customStyle="1">
    <w:name w:val="adr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Calibri" w:cs="Arial" w:ascii="Arial" w:hAnsi="Arial"/>
      <w:color w:val="000000"/>
      <w:kern w:val="0"/>
      <w:sz w:val="24"/>
      <w:szCs w:val="24"/>
      <w:lang w:eastAsia="en-US" w:bidi="ar-SA" w:val="cs-CZ"/>
    </w:rPr>
  </w:style>
  <w:style w:type="paragraph" w:styleId="Pjemceadresa" w:customStyle="1">
    <w:name w:val="Příjemce adresa"/>
    <w:basedOn w:val="Envelopeaddress"/>
    <w:qFormat/>
    <w:pPr>
      <w:ind w:hanging="0"/>
      <w:jc w:val="left"/>
    </w:pPr>
    <w:rPr>
      <w:rFonts w:cs="Times New Roman"/>
      <w:b w:val="false"/>
    </w:rPr>
  </w:style>
  <w:style w:type="paragraph" w:styleId="Annotationtext">
    <w:name w:val="annotation text"/>
    <w:basedOn w:val="Normal"/>
    <w:qFormat/>
    <w:pPr>
      <w:ind w:left="-357" w:hanging="0"/>
      <w:jc w:val="left"/>
    </w:pPr>
    <w:rPr>
      <w:rFonts w:cs="Times New Roman"/>
      <w:sz w:val="20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3" w:customStyle="1">
    <w:name w:val="l3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4" w:customStyle="1">
    <w:name w:val="l4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nnotationsubject">
    <w:name w:val="annotation subject"/>
    <w:basedOn w:val="Annotationtext"/>
    <w:next w:val="Annotationtext"/>
    <w:qFormat/>
    <w:pPr>
      <w:ind w:left="-357" w:firstLine="357"/>
    </w:pPr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eastAsia="Calibri" w:cs="0" w:ascii="Arial" w:hAnsi="Arial"/>
      <w:color w:val="auto"/>
      <w:kern w:val="0"/>
      <w:sz w:val="22"/>
      <w:szCs w:val="22"/>
      <w:lang w:eastAsia="en-US" w:bidi="ar-SA" w:val="cs-CZ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3</Pages>
  <Words>1068</Words>
  <Characters>6155</Characters>
  <CharactersWithSpaces>7188</CharactersWithSpaces>
  <Paragraphs>34</Paragraphs>
  <Company>Advokátní kancelář Dohnal &amp; Bernard,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2024-10-24T10:57:08Z</dcterms:created>
  <dc:creator/>
  <dc:description/>
  <dc:language>cs-CZ</dc:language>
  <cp:lastModifiedBy/>
  <dcterms:modified xsi:type="dcterms:W3CDTF">2024-10-24T10:57:44Z</dcterms:modified>
  <cp:revision>3</cp:revision>
  <dc:subject>Obchodní dopis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česky</vt:lpwstr>
  </property>
</Properties>
</file>